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sz w:val="28"/>
          <w:szCs w:val="28"/>
        </w:rPr>
      </w:pPr>
      <w:r>
        <w:rPr>
          <w:rFonts w:hint="eastAsia" w:ascii="宋体" w:hAnsi="宋体"/>
          <w:b/>
          <w:sz w:val="28"/>
          <w:szCs w:val="28"/>
        </w:rPr>
        <w:t xml:space="preserve">济南大学研究生课程建设指标体系及评分表   </w:t>
      </w:r>
    </w:p>
    <w:tbl>
      <w:tblPr>
        <w:tblStyle w:val="3"/>
        <w:tblpPr w:leftFromText="180" w:rightFromText="180" w:vertAnchor="text" w:horzAnchor="margin" w:tblpXSpec="center" w:tblpY="158"/>
        <w:tblW w:w="9243" w:type="dxa"/>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8"/>
        <w:gridCol w:w="843"/>
        <w:gridCol w:w="3201"/>
        <w:gridCol w:w="2966"/>
        <w:gridCol w:w="792"/>
        <w:gridCol w:w="8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56" w:hRule="atLeast"/>
        </w:trPr>
        <w:tc>
          <w:tcPr>
            <w:tcW w:w="638" w:type="dxa"/>
            <w:vMerge w:val="restart"/>
            <w:tcBorders>
              <w:top w:val="single" w:color="auto" w:sz="4" w:space="0"/>
              <w:left w:val="single" w:color="auto" w:sz="4" w:space="0"/>
              <w:right w:val="single" w:color="auto" w:sz="4" w:space="0"/>
            </w:tcBorders>
            <w:vAlign w:val="center"/>
          </w:tcPr>
          <w:p>
            <w:pPr>
              <w:jc w:val="center"/>
              <w:rPr>
                <w:rFonts w:ascii="宋体" w:hAnsi="宋体"/>
                <w:sz w:val="21"/>
                <w:szCs w:val="21"/>
              </w:rPr>
            </w:pPr>
            <w:r>
              <w:rPr>
                <w:rFonts w:hint="eastAsia" w:ascii="宋体" w:hAnsi="宋体"/>
                <w:b/>
                <w:sz w:val="21"/>
                <w:szCs w:val="21"/>
              </w:rPr>
              <w:t>一级指标</w:t>
            </w:r>
          </w:p>
        </w:tc>
        <w:tc>
          <w:tcPr>
            <w:tcW w:w="843" w:type="dxa"/>
            <w:vMerge w:val="restart"/>
            <w:tcBorders>
              <w:top w:val="single" w:color="auto" w:sz="4" w:space="0"/>
              <w:left w:val="single" w:color="auto" w:sz="4" w:space="0"/>
              <w:right w:val="single" w:color="auto" w:sz="4" w:space="0"/>
            </w:tcBorders>
            <w:vAlign w:val="center"/>
          </w:tcPr>
          <w:p>
            <w:pPr>
              <w:jc w:val="center"/>
              <w:rPr>
                <w:rFonts w:ascii="宋体" w:hAnsi="宋体"/>
                <w:b/>
                <w:sz w:val="21"/>
                <w:szCs w:val="21"/>
              </w:rPr>
            </w:pPr>
            <w:r>
              <w:rPr>
                <w:rFonts w:hint="eastAsia" w:ascii="宋体" w:hAnsi="宋体"/>
                <w:b/>
                <w:sz w:val="21"/>
                <w:szCs w:val="21"/>
              </w:rPr>
              <w:t>二级指标</w:t>
            </w:r>
          </w:p>
          <w:p>
            <w:pPr>
              <w:jc w:val="center"/>
              <w:rPr>
                <w:rFonts w:ascii="宋体" w:hAnsi="宋体"/>
                <w:sz w:val="21"/>
                <w:szCs w:val="21"/>
              </w:rPr>
            </w:pPr>
            <w:r>
              <w:rPr>
                <w:rFonts w:hint="eastAsia" w:ascii="宋体" w:hAnsi="宋体"/>
                <w:b/>
                <w:sz w:val="21"/>
                <w:szCs w:val="21"/>
              </w:rPr>
              <w:t>（分值 M</w:t>
            </w:r>
            <w:r>
              <w:rPr>
                <w:rFonts w:hint="eastAsia" w:ascii="宋体" w:hAnsi="宋体"/>
                <w:b/>
                <w:sz w:val="21"/>
                <w:szCs w:val="21"/>
                <w:vertAlign w:val="subscript"/>
              </w:rPr>
              <w:t>i</w:t>
            </w:r>
            <w:r>
              <w:rPr>
                <w:rFonts w:hint="eastAsia" w:ascii="宋体" w:hAnsi="宋体"/>
                <w:b/>
                <w:sz w:val="21"/>
                <w:szCs w:val="21"/>
              </w:rPr>
              <w:t>）</w:t>
            </w:r>
          </w:p>
        </w:tc>
        <w:tc>
          <w:tcPr>
            <w:tcW w:w="6167"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1"/>
                <w:szCs w:val="21"/>
              </w:rPr>
            </w:pPr>
            <w:r>
              <w:rPr>
                <w:rFonts w:hint="eastAsia" w:ascii="宋体" w:hAnsi="宋体"/>
                <w:b/>
                <w:sz w:val="21"/>
                <w:szCs w:val="21"/>
              </w:rPr>
              <w:t>评</w:t>
            </w:r>
            <w:r>
              <w:rPr>
                <w:rFonts w:hint="eastAsia" w:ascii="宋体" w:hAnsi="宋体"/>
                <w:b/>
                <w:sz w:val="21"/>
                <w:szCs w:val="21"/>
                <w:lang w:eastAsia="zh-CN"/>
              </w:rPr>
              <w:t>价</w:t>
            </w:r>
            <w:r>
              <w:rPr>
                <w:rFonts w:hint="eastAsia" w:ascii="宋体" w:hAnsi="宋体"/>
                <w:b/>
                <w:sz w:val="21"/>
                <w:szCs w:val="21"/>
              </w:rPr>
              <w:t>标准</w:t>
            </w:r>
          </w:p>
        </w:tc>
        <w:tc>
          <w:tcPr>
            <w:tcW w:w="792" w:type="dxa"/>
            <w:vMerge w:val="restart"/>
            <w:tcBorders>
              <w:top w:val="single" w:color="auto" w:sz="4" w:space="0"/>
              <w:left w:val="single" w:color="auto" w:sz="4" w:space="0"/>
              <w:right w:val="single" w:color="auto" w:sz="4" w:space="0"/>
            </w:tcBorders>
            <w:vAlign w:val="center"/>
          </w:tcPr>
          <w:p>
            <w:pPr>
              <w:jc w:val="center"/>
              <w:rPr>
                <w:rFonts w:hint="eastAsia" w:ascii="宋体" w:hAnsi="宋体"/>
                <w:b/>
                <w:sz w:val="21"/>
                <w:szCs w:val="21"/>
              </w:rPr>
            </w:pPr>
            <w:r>
              <w:rPr>
                <w:rFonts w:hint="eastAsia" w:ascii="宋体" w:hAnsi="宋体"/>
                <w:b/>
                <w:sz w:val="21"/>
                <w:szCs w:val="21"/>
              </w:rPr>
              <w:t>得分</w:t>
            </w:r>
            <w:r>
              <w:rPr>
                <w:rFonts w:hint="eastAsia" w:ascii="宋体" w:hAnsi="宋体"/>
                <w:b/>
                <w:sz w:val="21"/>
                <w:szCs w:val="21"/>
                <w:lang w:eastAsia="zh-CN"/>
              </w:rPr>
              <w:t>（</w:t>
            </w:r>
            <w:r>
              <w:rPr>
                <w:rFonts w:hint="eastAsia" w:ascii="宋体" w:hAnsi="宋体"/>
                <w:sz w:val="21"/>
                <w:szCs w:val="21"/>
              </w:rPr>
              <w:t>Ki</w:t>
            </w:r>
            <w:r>
              <w:rPr>
                <w:rFonts w:hint="eastAsia" w:ascii="宋体" w:hAnsi="宋体"/>
                <w:b/>
                <w:sz w:val="21"/>
                <w:szCs w:val="21"/>
                <w:lang w:eastAsia="zh-CN"/>
              </w:rPr>
              <w:t>）</w:t>
            </w:r>
          </w:p>
          <w:p>
            <w:pPr>
              <w:jc w:val="center"/>
              <w:rPr>
                <w:rFonts w:hint="eastAsia" w:ascii="宋体" w:hAnsi="宋体"/>
                <w:b/>
                <w:sz w:val="21"/>
                <w:szCs w:val="21"/>
              </w:rPr>
            </w:pPr>
          </w:p>
        </w:tc>
        <w:tc>
          <w:tcPr>
            <w:tcW w:w="803" w:type="dxa"/>
            <w:vMerge w:val="restart"/>
            <w:tcBorders>
              <w:top w:val="single" w:color="auto" w:sz="4" w:space="0"/>
              <w:left w:val="single" w:color="auto" w:sz="4" w:space="0"/>
              <w:right w:val="single" w:color="auto" w:sz="4" w:space="0"/>
            </w:tcBorders>
            <w:vAlign w:val="center"/>
          </w:tcPr>
          <w:p>
            <w:pPr>
              <w:jc w:val="center"/>
              <w:rPr>
                <w:rFonts w:ascii="宋体" w:hAnsi="宋体"/>
                <w:sz w:val="21"/>
                <w:szCs w:val="21"/>
              </w:rPr>
            </w:pPr>
            <w:r>
              <w:rPr>
                <w:rFonts w:hint="eastAsia" w:ascii="宋体" w:hAnsi="宋体"/>
                <w:b/>
                <w:sz w:val="21"/>
                <w:szCs w:val="21"/>
              </w:rPr>
              <w:t>需要提供材料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38" w:hRule="atLeast"/>
        </w:trPr>
        <w:tc>
          <w:tcPr>
            <w:tcW w:w="638" w:type="dxa"/>
            <w:vMerge w:val="continue"/>
            <w:tcBorders>
              <w:left w:val="single" w:color="auto" w:sz="4" w:space="0"/>
              <w:bottom w:val="single" w:color="auto" w:sz="4" w:space="0"/>
              <w:right w:val="single" w:color="auto" w:sz="4" w:space="0"/>
            </w:tcBorders>
            <w:vAlign w:val="center"/>
          </w:tcPr>
          <w:p>
            <w:pPr>
              <w:jc w:val="center"/>
              <w:rPr>
                <w:rFonts w:ascii="宋体" w:hAnsi="宋体"/>
                <w:szCs w:val="21"/>
              </w:rPr>
            </w:pPr>
          </w:p>
        </w:tc>
        <w:tc>
          <w:tcPr>
            <w:tcW w:w="843" w:type="dxa"/>
            <w:vMerge w:val="continue"/>
            <w:tcBorders>
              <w:left w:val="single" w:color="auto" w:sz="4" w:space="0"/>
              <w:bottom w:val="single" w:color="auto" w:sz="4" w:space="0"/>
              <w:right w:val="single" w:color="auto" w:sz="4" w:space="0"/>
            </w:tcBorders>
            <w:vAlign w:val="center"/>
          </w:tcPr>
          <w:p>
            <w:pPr>
              <w:spacing w:line="260" w:lineRule="exact"/>
              <w:jc w:val="center"/>
              <w:rPr>
                <w:rFonts w:ascii="宋体" w:hAnsi="宋体"/>
                <w:szCs w:val="21"/>
              </w:rPr>
            </w:pPr>
          </w:p>
        </w:tc>
        <w:tc>
          <w:tcPr>
            <w:tcW w:w="320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lang w:val="en-US" w:eastAsia="zh-CN"/>
              </w:rPr>
            </w:pPr>
            <w:r>
              <w:rPr>
                <w:rFonts w:hint="eastAsia" w:ascii="宋体" w:hAnsi="宋体"/>
                <w:b/>
                <w:bCs/>
                <w:szCs w:val="21"/>
                <w:lang w:val="en-US" w:eastAsia="zh-CN"/>
              </w:rPr>
              <w:t>A级</w:t>
            </w:r>
          </w:p>
          <w:p>
            <w:pPr>
              <w:jc w:val="center"/>
              <w:rPr>
                <w:rFonts w:hint="eastAsia" w:ascii="宋体" w:hAnsi="宋体" w:eastAsiaTheme="minorEastAsia"/>
                <w:b/>
                <w:bCs/>
                <w:szCs w:val="21"/>
                <w:lang w:val="en-US" w:eastAsia="zh-CN"/>
              </w:rPr>
            </w:pPr>
            <w:r>
              <w:rPr>
                <w:rFonts w:hint="eastAsia" w:ascii="宋体" w:hAnsi="宋体"/>
                <w:b/>
                <w:bCs/>
                <w:szCs w:val="21"/>
                <w:lang w:val="en-US" w:eastAsia="zh-CN"/>
              </w:rPr>
              <w:t>(90-100分）</w:t>
            </w:r>
          </w:p>
        </w:tc>
        <w:tc>
          <w:tcPr>
            <w:tcW w:w="2966"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b/>
                <w:bCs/>
                <w:szCs w:val="21"/>
                <w:lang w:val="en-US" w:eastAsia="zh-CN"/>
              </w:rPr>
            </w:pPr>
            <w:r>
              <w:rPr>
                <w:rFonts w:hint="eastAsia" w:ascii="宋体" w:hAnsi="宋体"/>
                <w:b/>
                <w:bCs/>
                <w:szCs w:val="21"/>
                <w:lang w:val="en-US" w:eastAsia="zh-CN"/>
              </w:rPr>
              <w:t>C 级</w:t>
            </w:r>
          </w:p>
          <w:p>
            <w:pPr>
              <w:jc w:val="center"/>
              <w:rPr>
                <w:rFonts w:hint="eastAsia" w:ascii="宋体" w:hAnsi="宋体"/>
                <w:b/>
                <w:bCs/>
                <w:szCs w:val="21"/>
                <w:lang w:val="en-US" w:eastAsia="zh-CN"/>
              </w:rPr>
            </w:pPr>
            <w:r>
              <w:rPr>
                <w:rFonts w:hint="eastAsia" w:ascii="宋体" w:hAnsi="宋体"/>
                <w:b/>
                <w:bCs/>
                <w:szCs w:val="21"/>
                <w:lang w:val="en-US" w:eastAsia="zh-CN"/>
              </w:rPr>
              <w:t>（60-79分）</w:t>
            </w:r>
          </w:p>
        </w:tc>
        <w:tc>
          <w:tcPr>
            <w:tcW w:w="792" w:type="dxa"/>
            <w:vMerge w:val="continue"/>
            <w:tcBorders>
              <w:left w:val="single" w:color="auto" w:sz="4" w:space="0"/>
              <w:bottom w:val="single" w:color="auto" w:sz="4" w:space="0"/>
              <w:right w:val="single" w:color="auto" w:sz="4" w:space="0"/>
            </w:tcBorders>
            <w:vAlign w:val="center"/>
          </w:tcPr>
          <w:p>
            <w:pPr>
              <w:jc w:val="center"/>
              <w:rPr>
                <w:rFonts w:ascii="宋体" w:hAnsi="宋体"/>
                <w:szCs w:val="21"/>
              </w:rPr>
            </w:pPr>
          </w:p>
        </w:tc>
        <w:tc>
          <w:tcPr>
            <w:tcW w:w="803" w:type="dxa"/>
            <w:vMerge w:val="continue"/>
            <w:tcBorders>
              <w:left w:val="single" w:color="auto" w:sz="4" w:space="0"/>
              <w:bottom w:val="single" w:color="auto" w:sz="4" w:space="0"/>
              <w:right w:val="single" w:color="auto" w:sz="4" w:space="0"/>
            </w:tcBorders>
            <w:vAlign w:val="center"/>
          </w:tcPr>
          <w:p>
            <w:pPr>
              <w:rPr>
                <w:rFonts w:ascii="宋体" w:hAnsi="宋体"/>
                <w:sz w:val="18"/>
                <w:szCs w:val="1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00" w:hRule="atLeast"/>
        </w:trPr>
        <w:tc>
          <w:tcPr>
            <w:tcW w:w="638" w:type="dxa"/>
            <w:vMerge w:val="restart"/>
            <w:tcBorders>
              <w:left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师</w:t>
            </w:r>
          </w:p>
          <w:p>
            <w:pPr>
              <w:jc w:val="center"/>
              <w:rPr>
                <w:rFonts w:hint="eastAsia" w:ascii="宋体" w:hAnsi="宋体"/>
                <w:szCs w:val="21"/>
              </w:rPr>
            </w:pPr>
            <w:r>
              <w:rPr>
                <w:rFonts w:hint="eastAsia" w:ascii="宋体" w:hAnsi="宋体"/>
                <w:szCs w:val="21"/>
              </w:rPr>
              <w:t>资</w:t>
            </w:r>
          </w:p>
          <w:p>
            <w:pPr>
              <w:jc w:val="center"/>
              <w:rPr>
                <w:rFonts w:hint="eastAsia" w:ascii="宋体" w:hAnsi="宋体"/>
                <w:szCs w:val="21"/>
              </w:rPr>
            </w:pPr>
            <w:r>
              <w:rPr>
                <w:rFonts w:hint="eastAsia" w:ascii="宋体" w:hAnsi="宋体"/>
                <w:szCs w:val="21"/>
              </w:rPr>
              <w:t>队</w:t>
            </w:r>
          </w:p>
          <w:p>
            <w:pPr>
              <w:jc w:val="center"/>
              <w:rPr>
                <w:rFonts w:hint="eastAsia" w:ascii="宋体" w:hAnsi="宋体"/>
                <w:szCs w:val="21"/>
              </w:rPr>
            </w:pPr>
            <w:r>
              <w:rPr>
                <w:rFonts w:hint="eastAsia" w:ascii="宋体" w:hAnsi="宋体"/>
                <w:szCs w:val="21"/>
              </w:rPr>
              <w:t>伍</w:t>
            </w:r>
          </w:p>
          <w:p>
            <w:pPr>
              <w:jc w:val="center"/>
              <w:rPr>
                <w:rFonts w:hint="eastAsia" w:ascii="宋体" w:hAnsi="宋体"/>
                <w:szCs w:val="21"/>
              </w:rPr>
            </w:pPr>
            <w:r>
              <w:rPr>
                <w:rFonts w:hint="eastAsia" w:ascii="宋体" w:hAnsi="宋体"/>
                <w:szCs w:val="21"/>
              </w:rPr>
              <w:t>建</w:t>
            </w:r>
          </w:p>
          <w:p>
            <w:pPr>
              <w:jc w:val="center"/>
              <w:rPr>
                <w:rFonts w:hint="eastAsia" w:ascii="宋体" w:hAnsi="宋体"/>
                <w:szCs w:val="21"/>
              </w:rPr>
            </w:pPr>
            <w:r>
              <w:rPr>
                <w:rFonts w:hint="eastAsia" w:ascii="宋体" w:hAnsi="宋体"/>
                <w:szCs w:val="21"/>
              </w:rPr>
              <w:t>设</w:t>
            </w:r>
          </w:p>
          <w:p>
            <w:pPr>
              <w:jc w:val="center"/>
              <w:rPr>
                <w:rFonts w:hint="eastAsia" w:ascii="宋体" w:hAnsi="宋体"/>
                <w:szCs w:val="21"/>
              </w:rPr>
            </w:pPr>
            <w:r>
              <w:rPr>
                <w:rFonts w:hint="eastAsia" w:ascii="宋体" w:hAnsi="宋体"/>
                <w:szCs w:val="21"/>
              </w:rPr>
              <w:t>20</w:t>
            </w:r>
          </w:p>
          <w:p>
            <w:pPr>
              <w:jc w:val="center"/>
              <w:rPr>
                <w:rFonts w:hint="eastAsia" w:ascii="宋体" w:hAnsi="宋体"/>
                <w:szCs w:val="21"/>
              </w:rPr>
            </w:pPr>
            <w:r>
              <w:rPr>
                <w:rFonts w:hint="eastAsia" w:ascii="宋体" w:hAnsi="宋体"/>
                <w:szCs w:val="21"/>
              </w:rPr>
              <w:t>分</w:t>
            </w: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队伍</w:t>
            </w:r>
          </w:p>
          <w:p>
            <w:pPr>
              <w:jc w:val="center"/>
              <w:rPr>
                <w:rFonts w:hint="eastAsia" w:ascii="宋体" w:hAnsi="宋体"/>
                <w:szCs w:val="21"/>
              </w:rPr>
            </w:pPr>
            <w:r>
              <w:rPr>
                <w:rFonts w:hint="eastAsia" w:ascii="宋体" w:hAnsi="宋体"/>
                <w:szCs w:val="21"/>
              </w:rPr>
              <w:t>结构</w:t>
            </w:r>
          </w:p>
          <w:p>
            <w:pPr>
              <w:jc w:val="center"/>
              <w:rPr>
                <w:rFonts w:hint="eastAsia" w:ascii="宋体" w:hAnsi="宋体"/>
                <w:szCs w:val="21"/>
              </w:rPr>
            </w:pPr>
            <w:r>
              <w:rPr>
                <w:rFonts w:hint="eastAsia" w:ascii="宋体" w:hAnsi="宋体"/>
                <w:szCs w:val="21"/>
              </w:rPr>
              <w:t>（10分）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主讲教师应具有副教授</w:t>
            </w:r>
            <w:r>
              <w:rPr>
                <w:rFonts w:hint="eastAsia" w:ascii="宋体" w:hAnsi="宋体"/>
                <w:szCs w:val="21"/>
                <w:lang w:eastAsia="zh-CN"/>
              </w:rPr>
              <w:t>及</w:t>
            </w:r>
            <w:r>
              <w:rPr>
                <w:rFonts w:hint="eastAsia" w:ascii="宋体" w:hAnsi="宋体"/>
                <w:szCs w:val="21"/>
              </w:rPr>
              <w:t>以上职称，近三年主讲此门课程不少于两轮；教学团队不少于3人，团队成员工作两年以上教师比例不低于</w:t>
            </w:r>
            <w:r>
              <w:rPr>
                <w:rFonts w:hint="eastAsia" w:ascii="宋体" w:hAnsi="宋体"/>
                <w:szCs w:val="21"/>
                <w:lang w:val="en-US" w:eastAsia="zh-CN"/>
              </w:rPr>
              <w:t>2/3</w:t>
            </w:r>
            <w:r>
              <w:rPr>
                <w:rFonts w:hint="eastAsia" w:ascii="宋体" w:hAnsi="宋体"/>
                <w:szCs w:val="21"/>
              </w:rPr>
              <w:t>；年龄、职称结构合理,具有博士学位教师比例不低于</w:t>
            </w:r>
            <w:r>
              <w:rPr>
                <w:rFonts w:hint="eastAsia" w:ascii="宋体" w:hAnsi="宋体"/>
                <w:szCs w:val="21"/>
                <w:lang w:val="en-US" w:eastAsia="zh-CN"/>
              </w:rPr>
              <w:t>2/3</w:t>
            </w:r>
            <w:r>
              <w:rPr>
                <w:rFonts w:hint="eastAsia" w:ascii="宋体" w:hAnsi="宋体"/>
                <w:szCs w:val="21"/>
              </w:rPr>
              <w:t>；专业学位</w:t>
            </w:r>
            <w:r>
              <w:rPr>
                <w:rFonts w:hint="eastAsia" w:ascii="宋体" w:hAnsi="宋体"/>
                <w:szCs w:val="21"/>
                <w:lang w:eastAsia="zh-CN"/>
              </w:rPr>
              <w:t>研究生</w:t>
            </w:r>
            <w:r>
              <w:rPr>
                <w:rFonts w:hint="eastAsia" w:ascii="宋体" w:hAnsi="宋体"/>
                <w:szCs w:val="21"/>
              </w:rPr>
              <w:t>的专业课有行业背景的专家参与教学团队。</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主讲教师应具有副教授</w:t>
            </w:r>
            <w:r>
              <w:rPr>
                <w:rFonts w:hint="eastAsia" w:ascii="宋体" w:hAnsi="宋体"/>
                <w:szCs w:val="21"/>
                <w:lang w:eastAsia="zh-CN"/>
              </w:rPr>
              <w:t>及</w:t>
            </w:r>
            <w:r>
              <w:rPr>
                <w:rFonts w:hint="eastAsia" w:ascii="宋体" w:hAnsi="宋体"/>
                <w:szCs w:val="21"/>
              </w:rPr>
              <w:t>以上职称</w:t>
            </w:r>
            <w:r>
              <w:rPr>
                <w:rFonts w:hint="eastAsia" w:ascii="宋体" w:hAnsi="宋体"/>
                <w:szCs w:val="21"/>
                <w:lang w:eastAsia="zh-CN"/>
              </w:rPr>
              <w:t>或具有博士学位的</w:t>
            </w:r>
            <w:r>
              <w:rPr>
                <w:rFonts w:hint="eastAsia" w:ascii="宋体" w:hAnsi="宋体"/>
                <w:szCs w:val="21"/>
                <w:lang w:val="en-US" w:eastAsia="zh-CN"/>
              </w:rPr>
              <w:t>优秀讲师</w:t>
            </w:r>
            <w:r>
              <w:rPr>
                <w:rFonts w:hint="eastAsia" w:ascii="宋体" w:hAnsi="宋体"/>
                <w:szCs w:val="21"/>
              </w:rPr>
              <w:t>，近三年主讲此门课程不少于两轮；教学团队不少于</w:t>
            </w:r>
            <w:r>
              <w:rPr>
                <w:rFonts w:hint="eastAsia" w:ascii="宋体" w:hAnsi="宋体"/>
                <w:szCs w:val="21"/>
                <w:lang w:val="en-US" w:eastAsia="zh-CN"/>
              </w:rPr>
              <w:t>2</w:t>
            </w:r>
            <w:r>
              <w:rPr>
                <w:rFonts w:hint="eastAsia" w:ascii="宋体" w:hAnsi="宋体"/>
                <w:szCs w:val="21"/>
              </w:rPr>
              <w:t>人</w:t>
            </w:r>
            <w:r>
              <w:rPr>
                <w:rFonts w:hint="eastAsia" w:ascii="宋体" w:hAnsi="宋体"/>
                <w:szCs w:val="21"/>
                <w:lang w:eastAsia="zh-CN"/>
              </w:rPr>
              <w:t>。</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师资现状一览表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465" w:hRule="atLeast"/>
        </w:trPr>
        <w:tc>
          <w:tcPr>
            <w:tcW w:w="638" w:type="dxa"/>
            <w:vMerge w:val="continue"/>
            <w:tcBorders>
              <w:left w:val="single" w:color="auto" w:sz="4" w:space="0"/>
              <w:bottom w:val="single" w:color="auto" w:sz="4" w:space="0"/>
              <w:right w:val="single" w:color="auto" w:sz="4" w:space="0"/>
            </w:tcBorders>
            <w:vAlign w:val="center"/>
          </w:tcPr>
          <w:p>
            <w:pPr>
              <w:jc w:val="left"/>
              <w:rPr>
                <w:rFonts w:hint="eastAsia" w:ascii="宋体" w:hAnsi="宋体"/>
                <w:szCs w:val="21"/>
              </w:rPr>
            </w:pP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教学</w:t>
            </w:r>
          </w:p>
          <w:p>
            <w:pPr>
              <w:jc w:val="center"/>
              <w:rPr>
                <w:rFonts w:hint="eastAsia" w:ascii="宋体" w:hAnsi="宋体"/>
                <w:szCs w:val="21"/>
              </w:rPr>
            </w:pPr>
            <w:r>
              <w:rPr>
                <w:rFonts w:hint="eastAsia" w:ascii="宋体" w:hAnsi="宋体"/>
                <w:szCs w:val="21"/>
              </w:rPr>
              <w:t>研究</w:t>
            </w:r>
          </w:p>
          <w:p>
            <w:pPr>
              <w:jc w:val="center"/>
              <w:rPr>
                <w:rFonts w:hint="eastAsia" w:ascii="宋体" w:hAnsi="宋体"/>
                <w:szCs w:val="21"/>
              </w:rPr>
            </w:pPr>
            <w:r>
              <w:rPr>
                <w:rFonts w:hint="eastAsia" w:ascii="宋体" w:hAnsi="宋体"/>
                <w:szCs w:val="21"/>
              </w:rPr>
              <w:t>（10分）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参加国家级、省部级</w:t>
            </w:r>
            <w:r>
              <w:rPr>
                <w:rFonts w:hint="eastAsia" w:ascii="宋体" w:hAnsi="宋体"/>
                <w:szCs w:val="21"/>
                <w:lang w:eastAsia="zh-CN"/>
              </w:rPr>
              <w:t>研究生</w:t>
            </w:r>
            <w:r>
              <w:rPr>
                <w:rFonts w:hint="eastAsia" w:ascii="宋体" w:hAnsi="宋体"/>
                <w:szCs w:val="21"/>
              </w:rPr>
              <w:t>教研、教改项目</w:t>
            </w:r>
            <w:r>
              <w:rPr>
                <w:rFonts w:hint="eastAsia" w:ascii="宋体" w:hAnsi="宋体"/>
                <w:szCs w:val="21"/>
                <w:lang w:val="en-US" w:eastAsia="zh-CN"/>
              </w:rPr>
              <w:t>或校级</w:t>
            </w:r>
            <w:r>
              <w:rPr>
                <w:rFonts w:hint="eastAsia" w:ascii="宋体" w:hAnsi="宋体"/>
                <w:szCs w:val="21"/>
              </w:rPr>
              <w:t>教研、教改项目</w:t>
            </w:r>
            <w:r>
              <w:rPr>
                <w:rFonts w:hint="eastAsia" w:ascii="宋体" w:hAnsi="宋体"/>
                <w:szCs w:val="21"/>
                <w:lang w:val="en-US" w:eastAsia="zh-CN"/>
              </w:rPr>
              <w:t>(前2位）</w:t>
            </w:r>
            <w:r>
              <w:rPr>
                <w:rFonts w:hint="eastAsia" w:ascii="宋体" w:hAnsi="宋体"/>
                <w:szCs w:val="21"/>
              </w:rPr>
              <w:t>，或获过校级</w:t>
            </w:r>
            <w:r>
              <w:rPr>
                <w:rFonts w:hint="eastAsia" w:ascii="宋体" w:hAnsi="宋体"/>
                <w:szCs w:val="21"/>
                <w:lang w:eastAsia="zh-CN"/>
              </w:rPr>
              <w:t>以上研究生</w:t>
            </w:r>
            <w:r>
              <w:rPr>
                <w:rFonts w:hint="eastAsia" w:ascii="宋体" w:hAnsi="宋体"/>
                <w:szCs w:val="21"/>
              </w:rPr>
              <w:t>教研奖励；近五年内，年人均</w:t>
            </w:r>
            <w:r>
              <w:rPr>
                <w:rFonts w:hint="eastAsia" w:ascii="宋体" w:hAnsi="宋体"/>
                <w:szCs w:val="21"/>
                <w:lang w:eastAsia="zh-CN"/>
              </w:rPr>
              <w:t>第一作者</w:t>
            </w:r>
            <w:r>
              <w:rPr>
                <w:rFonts w:hint="eastAsia" w:ascii="宋体" w:hAnsi="宋体"/>
                <w:szCs w:val="21"/>
              </w:rPr>
              <w:t>发表的</w:t>
            </w:r>
            <w:r>
              <w:rPr>
                <w:rFonts w:hint="eastAsia" w:ascii="宋体" w:hAnsi="宋体"/>
                <w:szCs w:val="21"/>
                <w:lang w:eastAsia="zh-CN"/>
              </w:rPr>
              <w:t>研究生</w:t>
            </w:r>
            <w:r>
              <w:rPr>
                <w:rFonts w:hint="eastAsia" w:ascii="宋体" w:hAnsi="宋体"/>
                <w:szCs w:val="21"/>
              </w:rPr>
              <w:t>教研论文或与</w:t>
            </w:r>
            <w:r>
              <w:rPr>
                <w:rFonts w:hint="eastAsia" w:ascii="宋体" w:hAnsi="宋体"/>
                <w:szCs w:val="21"/>
                <w:lang w:eastAsia="zh-CN"/>
              </w:rPr>
              <w:t>研究生</w:t>
            </w:r>
            <w:r>
              <w:rPr>
                <w:rFonts w:hint="eastAsia" w:ascii="宋体" w:hAnsi="宋体"/>
                <w:szCs w:val="21"/>
              </w:rPr>
              <w:t>教学内容密切相关的学术论文不少于0.5篇。</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lang w:val="en-US" w:eastAsia="zh-CN"/>
              </w:rPr>
              <w:t>参加过校级研究生</w:t>
            </w:r>
            <w:r>
              <w:rPr>
                <w:rFonts w:hint="eastAsia" w:ascii="宋体" w:hAnsi="宋体"/>
                <w:szCs w:val="21"/>
              </w:rPr>
              <w:t>教研、教改项目</w:t>
            </w:r>
            <w:r>
              <w:rPr>
                <w:rFonts w:hint="eastAsia" w:ascii="宋体" w:hAnsi="宋体"/>
                <w:szCs w:val="21"/>
                <w:lang w:val="en-US" w:eastAsia="zh-CN"/>
              </w:rPr>
              <w:t>(前2位）</w:t>
            </w:r>
            <w:r>
              <w:rPr>
                <w:rFonts w:hint="eastAsia" w:ascii="宋体" w:hAnsi="宋体"/>
                <w:szCs w:val="21"/>
              </w:rPr>
              <w:t>，或获过校级</w:t>
            </w:r>
            <w:r>
              <w:rPr>
                <w:rFonts w:hint="eastAsia" w:ascii="宋体" w:hAnsi="宋体"/>
                <w:szCs w:val="21"/>
                <w:lang w:eastAsia="zh-CN"/>
              </w:rPr>
              <w:t>以上研究生</w:t>
            </w:r>
            <w:r>
              <w:rPr>
                <w:rFonts w:hint="eastAsia" w:ascii="宋体" w:hAnsi="宋体"/>
                <w:szCs w:val="21"/>
              </w:rPr>
              <w:t>教研奖励；近五年内，年人均</w:t>
            </w:r>
            <w:r>
              <w:rPr>
                <w:rFonts w:hint="eastAsia" w:ascii="宋体" w:hAnsi="宋体"/>
                <w:szCs w:val="21"/>
                <w:lang w:eastAsia="zh-CN"/>
              </w:rPr>
              <w:t>第一作者</w:t>
            </w:r>
            <w:r>
              <w:rPr>
                <w:rFonts w:hint="eastAsia" w:ascii="宋体" w:hAnsi="宋体"/>
                <w:szCs w:val="21"/>
              </w:rPr>
              <w:t>发表的</w:t>
            </w:r>
            <w:r>
              <w:rPr>
                <w:rFonts w:hint="eastAsia" w:ascii="宋体" w:hAnsi="宋体"/>
                <w:szCs w:val="21"/>
                <w:lang w:eastAsia="zh-CN"/>
              </w:rPr>
              <w:t>研究生</w:t>
            </w:r>
            <w:r>
              <w:rPr>
                <w:rFonts w:hint="eastAsia" w:ascii="宋体" w:hAnsi="宋体"/>
                <w:szCs w:val="21"/>
              </w:rPr>
              <w:t>教研论文或与</w:t>
            </w:r>
            <w:r>
              <w:rPr>
                <w:rFonts w:hint="eastAsia" w:ascii="宋体" w:hAnsi="宋体"/>
                <w:szCs w:val="21"/>
                <w:lang w:eastAsia="zh-CN"/>
              </w:rPr>
              <w:t>研究生</w:t>
            </w:r>
            <w:r>
              <w:rPr>
                <w:rFonts w:hint="eastAsia" w:ascii="宋体" w:hAnsi="宋体"/>
                <w:szCs w:val="21"/>
              </w:rPr>
              <w:t>教学内容密切相关的学术论文不少于0.</w:t>
            </w:r>
            <w:r>
              <w:rPr>
                <w:rFonts w:hint="eastAsia" w:ascii="宋体" w:hAnsi="宋体"/>
                <w:szCs w:val="21"/>
                <w:lang w:val="en-US" w:eastAsia="zh-CN"/>
              </w:rPr>
              <w:t>3</w:t>
            </w:r>
            <w:r>
              <w:rPr>
                <w:rFonts w:hint="eastAsia" w:ascii="宋体" w:hAnsi="宋体"/>
                <w:szCs w:val="21"/>
              </w:rPr>
              <w:t>篇。</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成果</w:t>
            </w:r>
          </w:p>
          <w:p>
            <w:pPr>
              <w:jc w:val="both"/>
              <w:rPr>
                <w:rFonts w:hint="eastAsia" w:ascii="宋体" w:hAnsi="宋体"/>
                <w:szCs w:val="21"/>
              </w:rPr>
            </w:pPr>
            <w:r>
              <w:rPr>
                <w:rFonts w:hint="eastAsia" w:ascii="宋体" w:hAnsi="宋体"/>
                <w:szCs w:val="21"/>
              </w:rPr>
              <w:t>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94" w:hRule="atLeast"/>
        </w:trPr>
        <w:tc>
          <w:tcPr>
            <w:tcW w:w="638" w:type="dxa"/>
            <w:vMerge w:val="restart"/>
            <w:tcBorders>
              <w:top w:val="single" w:color="auto" w:sz="4" w:space="0"/>
              <w:left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教</w:t>
            </w:r>
          </w:p>
          <w:p>
            <w:pPr>
              <w:jc w:val="center"/>
              <w:rPr>
                <w:rFonts w:hint="eastAsia" w:ascii="宋体" w:hAnsi="宋体"/>
                <w:szCs w:val="21"/>
              </w:rPr>
            </w:pPr>
            <w:r>
              <w:rPr>
                <w:rFonts w:hint="eastAsia" w:ascii="宋体" w:hAnsi="宋体"/>
                <w:szCs w:val="21"/>
              </w:rPr>
              <w:t>学</w:t>
            </w:r>
          </w:p>
          <w:p>
            <w:pPr>
              <w:jc w:val="center"/>
              <w:rPr>
                <w:rFonts w:hint="eastAsia" w:ascii="宋体" w:hAnsi="宋体"/>
                <w:szCs w:val="21"/>
              </w:rPr>
            </w:pPr>
            <w:r>
              <w:rPr>
                <w:rFonts w:hint="eastAsia" w:ascii="宋体" w:hAnsi="宋体"/>
                <w:szCs w:val="21"/>
              </w:rPr>
              <w:t>条</w:t>
            </w:r>
          </w:p>
          <w:p>
            <w:pPr>
              <w:jc w:val="center"/>
              <w:rPr>
                <w:rFonts w:hint="eastAsia" w:ascii="宋体" w:hAnsi="宋体"/>
                <w:szCs w:val="21"/>
              </w:rPr>
            </w:pPr>
            <w:r>
              <w:rPr>
                <w:rFonts w:hint="eastAsia" w:ascii="宋体" w:hAnsi="宋体"/>
                <w:szCs w:val="21"/>
              </w:rPr>
              <w:t>件</w:t>
            </w:r>
          </w:p>
          <w:p>
            <w:pPr>
              <w:jc w:val="center"/>
              <w:rPr>
                <w:rFonts w:hint="eastAsia" w:ascii="宋体" w:hAnsi="宋体"/>
                <w:szCs w:val="21"/>
              </w:rPr>
            </w:pPr>
            <w:r>
              <w:rPr>
                <w:rFonts w:hint="eastAsia" w:ascii="宋体" w:hAnsi="宋体"/>
                <w:szCs w:val="21"/>
              </w:rPr>
              <w:t>建</w:t>
            </w:r>
          </w:p>
          <w:p>
            <w:pPr>
              <w:jc w:val="center"/>
              <w:rPr>
                <w:rFonts w:hint="eastAsia" w:ascii="宋体" w:hAnsi="宋体"/>
                <w:szCs w:val="21"/>
              </w:rPr>
            </w:pPr>
            <w:r>
              <w:rPr>
                <w:rFonts w:hint="eastAsia" w:ascii="宋体" w:hAnsi="宋体"/>
                <w:szCs w:val="21"/>
              </w:rPr>
              <w:t>设</w:t>
            </w:r>
          </w:p>
          <w:p>
            <w:pPr>
              <w:jc w:val="center"/>
              <w:rPr>
                <w:rFonts w:hint="eastAsia" w:ascii="宋体" w:hAnsi="宋体"/>
                <w:szCs w:val="21"/>
              </w:rPr>
            </w:pPr>
            <w:r>
              <w:rPr>
                <w:rFonts w:hint="eastAsia" w:ascii="宋体" w:hAnsi="宋体"/>
                <w:szCs w:val="21"/>
              </w:rPr>
              <w:t>10</w:t>
            </w:r>
          </w:p>
          <w:p>
            <w:pPr>
              <w:jc w:val="center"/>
              <w:rPr>
                <w:rFonts w:hint="eastAsia" w:ascii="宋体" w:hAnsi="宋体"/>
                <w:szCs w:val="21"/>
              </w:rPr>
            </w:pPr>
            <w:r>
              <w:rPr>
                <w:rFonts w:hint="eastAsia" w:ascii="宋体" w:hAnsi="宋体"/>
                <w:szCs w:val="21"/>
              </w:rPr>
              <w:t>分</w:t>
            </w: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教材</w:t>
            </w:r>
          </w:p>
          <w:p>
            <w:pPr>
              <w:jc w:val="center"/>
              <w:rPr>
                <w:rFonts w:hint="eastAsia" w:ascii="宋体" w:hAnsi="宋体"/>
                <w:szCs w:val="21"/>
              </w:rPr>
            </w:pPr>
            <w:r>
              <w:rPr>
                <w:rFonts w:hint="eastAsia" w:ascii="宋体" w:hAnsi="宋体"/>
                <w:szCs w:val="21"/>
              </w:rPr>
              <w:t>及</w:t>
            </w:r>
          </w:p>
          <w:p>
            <w:pPr>
              <w:jc w:val="center"/>
              <w:rPr>
                <w:rFonts w:hint="eastAsia" w:ascii="宋体" w:hAnsi="宋体"/>
                <w:szCs w:val="21"/>
              </w:rPr>
            </w:pPr>
            <w:r>
              <w:rPr>
                <w:rFonts w:hint="eastAsia" w:ascii="宋体" w:hAnsi="宋体"/>
                <w:szCs w:val="21"/>
              </w:rPr>
              <w:t>教学</w:t>
            </w:r>
          </w:p>
          <w:p>
            <w:pPr>
              <w:jc w:val="center"/>
              <w:rPr>
                <w:rFonts w:hint="eastAsia" w:ascii="宋体" w:hAnsi="宋体"/>
                <w:szCs w:val="21"/>
              </w:rPr>
            </w:pPr>
            <w:r>
              <w:rPr>
                <w:rFonts w:hint="eastAsia" w:ascii="宋体" w:hAnsi="宋体"/>
                <w:szCs w:val="21"/>
              </w:rPr>
              <w:t>资源</w:t>
            </w:r>
          </w:p>
          <w:p>
            <w:pPr>
              <w:jc w:val="center"/>
              <w:rPr>
                <w:rFonts w:hint="eastAsia" w:ascii="宋体" w:hAnsi="宋体"/>
                <w:szCs w:val="21"/>
              </w:rPr>
            </w:pPr>
            <w:r>
              <w:rPr>
                <w:rFonts w:hint="eastAsia" w:ascii="宋体" w:hAnsi="宋体"/>
                <w:szCs w:val="21"/>
              </w:rPr>
              <w:t>（7分）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选用国家优秀研究生教材或国外高水平原版教材或有高水平的自编教材；注重选用国际一流学术期刊的原始文献；课件、案例、实践教学资料及网络学习资源</w:t>
            </w:r>
            <w:r>
              <w:rPr>
                <w:rFonts w:hint="eastAsia" w:ascii="宋体" w:hAnsi="宋体"/>
                <w:szCs w:val="21"/>
                <w:lang w:eastAsia="zh-CN"/>
              </w:rPr>
              <w:t>等</w:t>
            </w:r>
            <w:r>
              <w:rPr>
                <w:rFonts w:hint="eastAsia" w:ascii="宋体" w:hAnsi="宋体"/>
                <w:szCs w:val="21"/>
              </w:rPr>
              <w:t>丰富，能满足教学需要。</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lang w:eastAsia="zh-CN"/>
              </w:rPr>
              <w:t>提供合适的</w:t>
            </w:r>
            <w:r>
              <w:rPr>
                <w:rFonts w:hint="eastAsia" w:ascii="宋体" w:hAnsi="宋体"/>
                <w:szCs w:val="21"/>
              </w:rPr>
              <w:t>研究生教材或有自编教材；注重选用</w:t>
            </w:r>
            <w:r>
              <w:rPr>
                <w:rFonts w:hint="eastAsia" w:ascii="宋体" w:hAnsi="宋体"/>
                <w:szCs w:val="21"/>
                <w:lang w:eastAsia="zh-CN"/>
              </w:rPr>
              <w:t>最新</w:t>
            </w:r>
            <w:r>
              <w:rPr>
                <w:rFonts w:hint="eastAsia" w:ascii="宋体" w:hAnsi="宋体"/>
                <w:szCs w:val="21"/>
              </w:rPr>
              <w:t>学术期刊的原始文献；课件、案例、实践教学资料及网络学习资源</w:t>
            </w:r>
            <w:r>
              <w:rPr>
                <w:rFonts w:hint="eastAsia" w:ascii="宋体" w:hAnsi="宋体"/>
                <w:szCs w:val="21"/>
                <w:lang w:eastAsia="zh-CN"/>
              </w:rPr>
              <w:t>等</w:t>
            </w:r>
            <w:r>
              <w:rPr>
                <w:rFonts w:hint="eastAsia" w:ascii="宋体" w:hAnsi="宋体"/>
                <w:szCs w:val="21"/>
              </w:rPr>
              <w:t>丰富，能满足</w:t>
            </w:r>
            <w:r>
              <w:rPr>
                <w:rFonts w:hint="eastAsia" w:ascii="宋体" w:hAnsi="宋体"/>
                <w:szCs w:val="21"/>
                <w:lang w:eastAsia="zh-CN"/>
              </w:rPr>
              <w:t>基本</w:t>
            </w:r>
            <w:r>
              <w:rPr>
                <w:rFonts w:hint="eastAsia" w:ascii="宋体" w:hAnsi="宋体"/>
                <w:szCs w:val="21"/>
              </w:rPr>
              <w:t>教学需要。</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相关资料展示（电子版）及使用效果说明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04" w:hRule="atLeast"/>
        </w:trPr>
        <w:tc>
          <w:tcPr>
            <w:tcW w:w="638" w:type="dxa"/>
            <w:vMerge w:val="continue"/>
            <w:tcBorders>
              <w:left w:val="single" w:color="auto" w:sz="4" w:space="0"/>
              <w:right w:val="single" w:color="auto" w:sz="4" w:space="0"/>
            </w:tcBorders>
            <w:vAlign w:val="center"/>
          </w:tcPr>
          <w:p>
            <w:pPr>
              <w:jc w:val="left"/>
              <w:rPr>
                <w:rFonts w:hint="eastAsia" w:ascii="宋体" w:hAnsi="宋体"/>
                <w:szCs w:val="21"/>
              </w:rPr>
            </w:pP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实践</w:t>
            </w:r>
          </w:p>
          <w:p>
            <w:pPr>
              <w:jc w:val="center"/>
              <w:rPr>
                <w:rFonts w:hint="eastAsia" w:ascii="宋体" w:hAnsi="宋体"/>
                <w:szCs w:val="21"/>
              </w:rPr>
            </w:pPr>
            <w:r>
              <w:rPr>
                <w:rFonts w:hint="eastAsia" w:ascii="宋体" w:hAnsi="宋体"/>
                <w:szCs w:val="21"/>
              </w:rPr>
              <w:t>教学</w:t>
            </w:r>
          </w:p>
          <w:p>
            <w:pPr>
              <w:jc w:val="center"/>
              <w:rPr>
                <w:rFonts w:hint="eastAsia" w:ascii="宋体" w:hAnsi="宋体"/>
                <w:szCs w:val="21"/>
              </w:rPr>
            </w:pPr>
            <w:r>
              <w:rPr>
                <w:rFonts w:hint="eastAsia" w:ascii="宋体" w:hAnsi="宋体"/>
                <w:szCs w:val="21"/>
              </w:rPr>
              <w:t>条件</w:t>
            </w:r>
          </w:p>
          <w:p>
            <w:pPr>
              <w:jc w:val="center"/>
              <w:rPr>
                <w:rFonts w:hint="eastAsia" w:ascii="宋体" w:hAnsi="宋体"/>
                <w:szCs w:val="21"/>
              </w:rPr>
            </w:pPr>
            <w:r>
              <w:rPr>
                <w:rFonts w:hint="eastAsia" w:ascii="宋体" w:hAnsi="宋体"/>
                <w:szCs w:val="21"/>
              </w:rPr>
              <w:t>（3分）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实践教学条件能很好满足教学要求；能进行开放式教学</w:t>
            </w:r>
            <w:r>
              <w:rPr>
                <w:rFonts w:hint="eastAsia" w:ascii="宋体" w:hAnsi="宋体"/>
                <w:szCs w:val="21"/>
                <w:lang w:eastAsia="zh-CN"/>
              </w:rPr>
              <w:t>，开展创新性实验</w:t>
            </w:r>
            <w:r>
              <w:rPr>
                <w:rFonts w:hint="eastAsia" w:ascii="宋体" w:hAnsi="宋体"/>
                <w:szCs w:val="21"/>
              </w:rPr>
              <w:t>。</w:t>
            </w:r>
          </w:p>
          <w:p>
            <w:pPr>
              <w:jc w:val="both"/>
              <w:rPr>
                <w:rFonts w:hint="eastAsia" w:ascii="宋体" w:hAnsi="宋体"/>
                <w:szCs w:val="21"/>
              </w:rPr>
            </w:pPr>
            <w:r>
              <w:rPr>
                <w:rFonts w:hint="eastAsia" w:ascii="宋体" w:hAnsi="宋体"/>
                <w:szCs w:val="21"/>
              </w:rPr>
              <w:t>（无实践教学要求的课程，此项不扣分。）</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实践教学条件</w:t>
            </w:r>
            <w:r>
              <w:rPr>
                <w:rFonts w:hint="eastAsia" w:ascii="宋体" w:hAnsi="宋体"/>
                <w:szCs w:val="21"/>
                <w:lang w:eastAsia="zh-CN"/>
              </w:rPr>
              <w:t>基本</w:t>
            </w:r>
            <w:r>
              <w:rPr>
                <w:rFonts w:hint="eastAsia" w:ascii="宋体" w:hAnsi="宋体"/>
                <w:szCs w:val="21"/>
              </w:rPr>
              <w:t>满足教学要求。</w:t>
            </w:r>
          </w:p>
          <w:p>
            <w:pPr>
              <w:jc w:val="both"/>
              <w:rPr>
                <w:rFonts w:hint="eastAsia" w:ascii="宋体" w:hAnsi="宋体"/>
                <w:szCs w:val="21"/>
              </w:rPr>
            </w:pPr>
            <w:r>
              <w:rPr>
                <w:rFonts w:hint="eastAsia" w:ascii="宋体" w:hAnsi="宋体"/>
                <w:szCs w:val="21"/>
              </w:rPr>
              <w:t>（无实践教学要求的课程，此项不扣分。）</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相关资料或说明材料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4" w:hRule="atLeast"/>
        </w:trPr>
        <w:tc>
          <w:tcPr>
            <w:tcW w:w="638"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r>
              <w:rPr>
                <w:rFonts w:hint="eastAsia" w:ascii="宋体" w:hAnsi="宋体"/>
                <w:szCs w:val="21"/>
              </w:rPr>
              <w:t>教</w:t>
            </w:r>
          </w:p>
          <w:p>
            <w:pPr>
              <w:jc w:val="center"/>
              <w:rPr>
                <w:rFonts w:hint="eastAsia" w:ascii="宋体" w:hAnsi="宋体"/>
                <w:szCs w:val="21"/>
              </w:rPr>
            </w:pPr>
            <w:r>
              <w:rPr>
                <w:rFonts w:hint="eastAsia" w:ascii="宋体" w:hAnsi="宋体"/>
                <w:szCs w:val="21"/>
              </w:rPr>
              <w:t>学</w:t>
            </w:r>
          </w:p>
          <w:p>
            <w:pPr>
              <w:jc w:val="center"/>
              <w:rPr>
                <w:rFonts w:hint="eastAsia" w:ascii="宋体" w:hAnsi="宋体"/>
                <w:szCs w:val="21"/>
              </w:rPr>
            </w:pPr>
            <w:r>
              <w:rPr>
                <w:rFonts w:hint="eastAsia" w:ascii="宋体" w:hAnsi="宋体"/>
                <w:szCs w:val="21"/>
              </w:rPr>
              <w:t>质</w:t>
            </w:r>
          </w:p>
          <w:p>
            <w:pPr>
              <w:jc w:val="center"/>
              <w:rPr>
                <w:rFonts w:hint="eastAsia" w:ascii="宋体" w:hAnsi="宋体"/>
                <w:szCs w:val="21"/>
              </w:rPr>
            </w:pPr>
            <w:r>
              <w:rPr>
                <w:rFonts w:hint="eastAsia" w:ascii="宋体" w:hAnsi="宋体"/>
                <w:szCs w:val="21"/>
              </w:rPr>
              <w:t>量</w:t>
            </w:r>
          </w:p>
          <w:p>
            <w:pPr>
              <w:jc w:val="center"/>
              <w:rPr>
                <w:rFonts w:hint="eastAsia" w:ascii="宋体" w:hAnsi="宋体"/>
                <w:szCs w:val="21"/>
              </w:rPr>
            </w:pPr>
            <w:r>
              <w:rPr>
                <w:rFonts w:hint="eastAsia" w:ascii="宋体" w:hAnsi="宋体"/>
                <w:szCs w:val="21"/>
              </w:rPr>
              <w:t>65</w:t>
            </w:r>
          </w:p>
          <w:p>
            <w:pPr>
              <w:jc w:val="center"/>
              <w:rPr>
                <w:rFonts w:hint="eastAsia" w:ascii="宋体" w:hAnsi="宋体" w:eastAsiaTheme="minorEastAsia"/>
                <w:szCs w:val="21"/>
                <w:lang w:eastAsia="zh-CN"/>
              </w:rPr>
            </w:pPr>
            <w:r>
              <w:rPr>
                <w:rFonts w:hint="eastAsia" w:ascii="宋体" w:hAnsi="宋体"/>
                <w:szCs w:val="21"/>
                <w:lang w:eastAsia="zh-CN"/>
              </w:rPr>
              <w:t>分</w:t>
            </w: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p>
            <w:pPr>
              <w:jc w:val="center"/>
              <w:rPr>
                <w:rFonts w:hint="eastAsia" w:ascii="宋体" w:hAnsi="宋体"/>
                <w:szCs w:val="21"/>
              </w:rPr>
            </w:pP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课程</w:t>
            </w:r>
          </w:p>
          <w:p>
            <w:pPr>
              <w:jc w:val="center"/>
              <w:rPr>
                <w:rFonts w:hint="eastAsia" w:ascii="宋体" w:hAnsi="宋体"/>
                <w:szCs w:val="21"/>
              </w:rPr>
            </w:pPr>
            <w:r>
              <w:rPr>
                <w:rFonts w:hint="eastAsia" w:ascii="宋体" w:hAnsi="宋体"/>
                <w:szCs w:val="21"/>
              </w:rPr>
              <w:t>内容</w:t>
            </w:r>
          </w:p>
          <w:p>
            <w:pPr>
              <w:jc w:val="center"/>
              <w:rPr>
                <w:rFonts w:hint="eastAsia" w:ascii="宋体" w:hAnsi="宋体"/>
                <w:szCs w:val="21"/>
              </w:rPr>
            </w:pPr>
            <w:r>
              <w:rPr>
                <w:rFonts w:hint="eastAsia" w:ascii="宋体" w:hAnsi="宋体"/>
                <w:szCs w:val="21"/>
              </w:rPr>
              <w:t>（20分）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课程内容设计充分体现人才培养目标要求，授课学时分配合理；及时将学科领域的最新研究成果和教改教研成果引入教学，注重基础理论、方法论与学科前沿问题的结合；专业学位</w:t>
            </w:r>
            <w:r>
              <w:rPr>
                <w:rFonts w:hint="eastAsia" w:ascii="宋体" w:hAnsi="宋体"/>
                <w:szCs w:val="21"/>
                <w:lang w:eastAsia="zh-CN"/>
              </w:rPr>
              <w:t>研究生实践教学内容丰富。</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课程内容设计体现人才培养目标</w:t>
            </w:r>
            <w:r>
              <w:rPr>
                <w:rFonts w:hint="eastAsia" w:ascii="宋体" w:hAnsi="宋体"/>
                <w:szCs w:val="21"/>
                <w:lang w:eastAsia="zh-CN"/>
              </w:rPr>
              <w:t>基本</w:t>
            </w:r>
            <w:r>
              <w:rPr>
                <w:rFonts w:hint="eastAsia" w:ascii="宋体" w:hAnsi="宋体"/>
                <w:szCs w:val="21"/>
              </w:rPr>
              <w:t>要求；</w:t>
            </w:r>
            <w:r>
              <w:rPr>
                <w:rFonts w:hint="eastAsia" w:ascii="宋体" w:hAnsi="宋体"/>
                <w:szCs w:val="21"/>
                <w:lang w:eastAsia="zh-CN"/>
              </w:rPr>
              <w:t>能够</w:t>
            </w:r>
            <w:r>
              <w:rPr>
                <w:rFonts w:hint="eastAsia" w:ascii="宋体" w:hAnsi="宋体"/>
                <w:szCs w:val="21"/>
              </w:rPr>
              <w:t>将学科领域的最新研究成果和教改教研成果引入教学；专业学位</w:t>
            </w:r>
            <w:r>
              <w:rPr>
                <w:rFonts w:hint="eastAsia" w:ascii="宋体" w:hAnsi="宋体"/>
                <w:szCs w:val="21"/>
                <w:lang w:eastAsia="zh-CN"/>
              </w:rPr>
              <w:t>研究生课程有基本的实践教学内容。</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课程内容及其更新情况说明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82" w:hRule="atLeast"/>
        </w:trPr>
        <w:tc>
          <w:tcPr>
            <w:tcW w:w="638" w:type="dxa"/>
            <w:vMerge w:val="continue"/>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szCs w:val="21"/>
              </w:rPr>
            </w:pP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课程</w:t>
            </w:r>
          </w:p>
          <w:p>
            <w:pPr>
              <w:jc w:val="center"/>
              <w:rPr>
                <w:rFonts w:hint="eastAsia" w:ascii="宋体" w:hAnsi="宋体"/>
                <w:szCs w:val="21"/>
              </w:rPr>
            </w:pPr>
            <w:r>
              <w:rPr>
                <w:rFonts w:hint="eastAsia" w:ascii="宋体" w:hAnsi="宋体"/>
                <w:szCs w:val="21"/>
              </w:rPr>
              <w:t>管理</w:t>
            </w:r>
          </w:p>
          <w:p>
            <w:pPr>
              <w:jc w:val="center"/>
              <w:rPr>
                <w:rFonts w:hint="eastAsia" w:ascii="宋体" w:hAnsi="宋体"/>
                <w:szCs w:val="21"/>
              </w:rPr>
            </w:pPr>
            <w:r>
              <w:rPr>
                <w:rFonts w:hint="eastAsia" w:ascii="宋体" w:hAnsi="宋体"/>
                <w:szCs w:val="21"/>
              </w:rPr>
              <w:t>（10分）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严格执行教学管理规定；有完整、规范的教学档案，材料齐全，整理有序；建设期内无教学事故。</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lang w:eastAsia="zh-CN"/>
              </w:rPr>
              <w:t>能认真</w:t>
            </w:r>
            <w:r>
              <w:rPr>
                <w:rFonts w:hint="eastAsia" w:ascii="宋体" w:hAnsi="宋体"/>
                <w:szCs w:val="21"/>
              </w:rPr>
              <w:t>执行教学管理规定；有</w:t>
            </w:r>
            <w:r>
              <w:rPr>
                <w:rFonts w:hint="eastAsia" w:ascii="宋体" w:hAnsi="宋体"/>
                <w:szCs w:val="21"/>
                <w:lang w:eastAsia="zh-CN"/>
              </w:rPr>
              <w:t>相对</w:t>
            </w:r>
            <w:r>
              <w:rPr>
                <w:rFonts w:hint="eastAsia" w:ascii="宋体" w:hAnsi="宋体"/>
                <w:szCs w:val="21"/>
              </w:rPr>
              <w:t>完整、规范的教学档案，材料齐全，整理有序；建设期内无教学事故。</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执行相关规定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90" w:hRule="atLeast"/>
        </w:trPr>
        <w:tc>
          <w:tcPr>
            <w:tcW w:w="63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考核</w:t>
            </w:r>
          </w:p>
          <w:p>
            <w:pPr>
              <w:jc w:val="center"/>
              <w:rPr>
                <w:rFonts w:hint="eastAsia" w:ascii="宋体" w:hAnsi="宋体"/>
                <w:szCs w:val="21"/>
              </w:rPr>
            </w:pPr>
            <w:r>
              <w:rPr>
                <w:rFonts w:hint="eastAsia" w:ascii="宋体" w:hAnsi="宋体"/>
                <w:szCs w:val="21"/>
              </w:rPr>
              <w:t>管理</w:t>
            </w:r>
          </w:p>
          <w:p>
            <w:pPr>
              <w:jc w:val="center"/>
              <w:rPr>
                <w:rFonts w:hint="eastAsia" w:ascii="宋体" w:hAnsi="宋体"/>
                <w:szCs w:val="21"/>
              </w:rPr>
            </w:pPr>
            <w:r>
              <w:rPr>
                <w:rFonts w:hint="eastAsia" w:ascii="宋体" w:hAnsi="宋体"/>
                <w:szCs w:val="21"/>
              </w:rPr>
              <w:t>（10分）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全面检测、评价研究生学习过程和学习效果；注重研究生基础理论和实践能力的有机结合；注重平时考核与期末考核的有机结合；考评办法科学合理，考核形式具备有效性和可操作性。</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lang w:eastAsia="zh-CN"/>
              </w:rPr>
              <w:t>能较</w:t>
            </w:r>
            <w:r>
              <w:rPr>
                <w:rFonts w:hint="eastAsia" w:ascii="宋体" w:hAnsi="宋体"/>
                <w:szCs w:val="21"/>
              </w:rPr>
              <w:t>全面检测、评价研究生学习过程和学习效果；考评办法</w:t>
            </w:r>
            <w:r>
              <w:rPr>
                <w:rFonts w:hint="eastAsia" w:ascii="宋体" w:hAnsi="宋体"/>
                <w:szCs w:val="21"/>
                <w:lang w:eastAsia="zh-CN"/>
              </w:rPr>
              <w:t>相对</w:t>
            </w:r>
            <w:r>
              <w:rPr>
                <w:rFonts w:hint="eastAsia" w:ascii="宋体" w:hAnsi="宋体"/>
                <w:szCs w:val="21"/>
              </w:rPr>
              <w:t>科学合理，考核形式具备有效性和可操作性。</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lang w:eastAsia="zh-CN"/>
              </w:rPr>
              <w:t>学位课</w:t>
            </w:r>
            <w:r>
              <w:rPr>
                <w:rFonts w:hint="eastAsia" w:ascii="宋体" w:hAnsi="宋体"/>
                <w:szCs w:val="21"/>
              </w:rPr>
              <w:t>试卷库、教学情况分析等材料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393" w:hRule="atLeast"/>
        </w:trPr>
        <w:tc>
          <w:tcPr>
            <w:tcW w:w="63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教学</w:t>
            </w:r>
          </w:p>
          <w:p>
            <w:pPr>
              <w:jc w:val="center"/>
              <w:rPr>
                <w:rFonts w:hint="eastAsia" w:ascii="宋体" w:hAnsi="宋体"/>
                <w:szCs w:val="21"/>
              </w:rPr>
            </w:pPr>
            <w:r>
              <w:rPr>
                <w:rFonts w:hint="eastAsia" w:ascii="宋体" w:hAnsi="宋体"/>
                <w:szCs w:val="21"/>
              </w:rPr>
              <w:t>改革</w:t>
            </w:r>
          </w:p>
          <w:p>
            <w:pPr>
              <w:jc w:val="center"/>
              <w:rPr>
                <w:rFonts w:hint="eastAsia" w:ascii="宋体" w:hAnsi="宋体"/>
                <w:szCs w:val="21"/>
              </w:rPr>
            </w:pPr>
            <w:r>
              <w:rPr>
                <w:rFonts w:hint="eastAsia" w:ascii="宋体" w:hAnsi="宋体"/>
                <w:szCs w:val="21"/>
              </w:rPr>
              <w:t>（10分）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积极进行教学方法改革，突出研究生自主学习及科研能力的培养，有效调动研究生学习积极性；实践教学能充分体现研究生实践创新能力的培养要求；充分利用信息化手段为研究生课程学习提供服务。</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教学方法</w:t>
            </w:r>
            <w:r>
              <w:rPr>
                <w:rFonts w:hint="eastAsia" w:ascii="宋体" w:hAnsi="宋体"/>
                <w:szCs w:val="21"/>
                <w:lang w:eastAsia="zh-CN"/>
              </w:rPr>
              <w:t>较为灵活</w:t>
            </w:r>
            <w:r>
              <w:rPr>
                <w:rFonts w:hint="eastAsia" w:ascii="宋体" w:hAnsi="宋体"/>
                <w:szCs w:val="21"/>
              </w:rPr>
              <w:t>，</w:t>
            </w:r>
            <w:r>
              <w:rPr>
                <w:rFonts w:hint="eastAsia" w:ascii="宋体" w:hAnsi="宋体"/>
                <w:szCs w:val="21"/>
                <w:lang w:eastAsia="zh-CN"/>
              </w:rPr>
              <w:t>较好地</w:t>
            </w:r>
            <w:r>
              <w:rPr>
                <w:rFonts w:hint="eastAsia" w:ascii="宋体" w:hAnsi="宋体"/>
                <w:szCs w:val="21"/>
              </w:rPr>
              <w:t>调动研究生学习积极性；实践教学</w:t>
            </w:r>
            <w:r>
              <w:rPr>
                <w:rFonts w:hint="eastAsia" w:ascii="宋体" w:hAnsi="宋体"/>
                <w:szCs w:val="21"/>
                <w:lang w:eastAsia="zh-CN"/>
              </w:rPr>
              <w:t>能较好地满足</w:t>
            </w:r>
            <w:r>
              <w:rPr>
                <w:rFonts w:hint="eastAsia" w:ascii="宋体" w:hAnsi="宋体"/>
                <w:szCs w:val="21"/>
              </w:rPr>
              <w:t>研究生实践创新能力的培养要求；</w:t>
            </w:r>
            <w:r>
              <w:rPr>
                <w:rFonts w:hint="eastAsia" w:ascii="宋体" w:hAnsi="宋体"/>
                <w:szCs w:val="21"/>
                <w:lang w:eastAsia="zh-CN"/>
              </w:rPr>
              <w:t>能利用</w:t>
            </w:r>
            <w:r>
              <w:rPr>
                <w:rFonts w:hint="eastAsia" w:ascii="宋体" w:hAnsi="宋体"/>
                <w:szCs w:val="21"/>
              </w:rPr>
              <w:t>信息化手段为研究生课程学习提供服务。</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改进教学方法的综述材料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390" w:hRule="atLeast"/>
        </w:trPr>
        <w:tc>
          <w:tcPr>
            <w:tcW w:w="638"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宋体" w:hAnsi="宋体"/>
                <w:szCs w:val="21"/>
              </w:rPr>
            </w:pP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教学</w:t>
            </w:r>
          </w:p>
          <w:p>
            <w:pPr>
              <w:jc w:val="center"/>
              <w:rPr>
                <w:rFonts w:hint="eastAsia" w:ascii="宋体" w:hAnsi="宋体"/>
                <w:szCs w:val="21"/>
              </w:rPr>
            </w:pPr>
            <w:r>
              <w:rPr>
                <w:rFonts w:hint="eastAsia" w:ascii="宋体" w:hAnsi="宋体"/>
                <w:szCs w:val="21"/>
              </w:rPr>
              <w:t>效果</w:t>
            </w:r>
          </w:p>
          <w:p>
            <w:pPr>
              <w:jc w:val="center"/>
              <w:rPr>
                <w:rFonts w:hint="eastAsia" w:ascii="宋体" w:hAnsi="宋体"/>
                <w:szCs w:val="21"/>
              </w:rPr>
            </w:pPr>
            <w:r>
              <w:rPr>
                <w:rFonts w:hint="eastAsia" w:ascii="宋体" w:hAnsi="宋体"/>
                <w:szCs w:val="21"/>
              </w:rPr>
              <w:t>（15分）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课程教学质量得到督导员、研究生及同行的较高评价</w:t>
            </w:r>
            <w:r>
              <w:rPr>
                <w:rFonts w:hint="eastAsia" w:ascii="宋体" w:hAnsi="宋体"/>
                <w:szCs w:val="21"/>
                <w:lang w:eastAsia="zh-CN"/>
              </w:rPr>
              <w:t>，近三次的评教成绩平均分为</w:t>
            </w:r>
            <w:r>
              <w:rPr>
                <w:rFonts w:hint="eastAsia" w:ascii="宋体" w:hAnsi="宋体"/>
                <w:szCs w:val="21"/>
                <w:lang w:val="en-US" w:eastAsia="zh-CN"/>
              </w:rPr>
              <w:t>85分及</w:t>
            </w:r>
            <w:r>
              <w:rPr>
                <w:rFonts w:hint="eastAsia" w:ascii="宋体" w:hAnsi="宋体"/>
                <w:szCs w:val="21"/>
              </w:rPr>
              <w:t>以上。</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lang w:eastAsia="zh-CN"/>
              </w:rPr>
              <w:t>近三次的评教成绩平均分为</w:t>
            </w:r>
            <w:r>
              <w:rPr>
                <w:rFonts w:hint="eastAsia" w:ascii="宋体" w:hAnsi="宋体"/>
                <w:szCs w:val="21"/>
                <w:lang w:val="en-US" w:eastAsia="zh-CN"/>
              </w:rPr>
              <w:t>70分及以上</w:t>
            </w:r>
            <w:r>
              <w:rPr>
                <w:rFonts w:hint="eastAsia" w:ascii="宋体" w:hAnsi="宋体"/>
                <w:szCs w:val="21"/>
                <w:lang w:eastAsia="zh-CN"/>
              </w:rPr>
              <w:t>。</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提供原始评价材料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1" w:hRule="atLeast"/>
        </w:trPr>
        <w:tc>
          <w:tcPr>
            <w:tcW w:w="638"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特</w:t>
            </w:r>
          </w:p>
          <w:p>
            <w:pPr>
              <w:jc w:val="center"/>
              <w:rPr>
                <w:rFonts w:hint="eastAsia" w:ascii="宋体" w:hAnsi="宋体"/>
                <w:szCs w:val="21"/>
              </w:rPr>
            </w:pPr>
            <w:r>
              <w:rPr>
                <w:rFonts w:hint="eastAsia" w:ascii="宋体" w:hAnsi="宋体"/>
                <w:szCs w:val="21"/>
              </w:rPr>
              <w:t>色</w:t>
            </w:r>
          </w:p>
          <w:p>
            <w:pPr>
              <w:jc w:val="center"/>
              <w:rPr>
                <w:rFonts w:hint="eastAsia" w:ascii="宋体" w:hAnsi="宋体"/>
                <w:szCs w:val="21"/>
              </w:rPr>
            </w:pPr>
            <w:r>
              <w:rPr>
                <w:rFonts w:hint="eastAsia" w:ascii="宋体" w:hAnsi="宋体"/>
                <w:szCs w:val="21"/>
              </w:rPr>
              <w:t>5</w:t>
            </w:r>
          </w:p>
          <w:p>
            <w:pPr>
              <w:jc w:val="center"/>
              <w:rPr>
                <w:rFonts w:hint="eastAsia" w:ascii="宋体" w:hAnsi="宋体"/>
                <w:szCs w:val="21"/>
              </w:rPr>
            </w:pPr>
            <w:r>
              <w:rPr>
                <w:rFonts w:hint="eastAsia" w:ascii="宋体" w:hAnsi="宋体"/>
                <w:szCs w:val="21"/>
              </w:rPr>
              <w:t>分</w:t>
            </w:r>
          </w:p>
        </w:tc>
        <w:tc>
          <w:tcPr>
            <w:tcW w:w="84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rPr>
            </w:pPr>
            <w:r>
              <w:rPr>
                <w:rFonts w:hint="eastAsia" w:ascii="宋体" w:hAnsi="宋体"/>
                <w:szCs w:val="21"/>
              </w:rPr>
              <w:t>特色及创新点</w:t>
            </w:r>
          </w:p>
          <w:p>
            <w:pPr>
              <w:jc w:val="center"/>
              <w:rPr>
                <w:rFonts w:hint="eastAsia" w:ascii="宋体" w:hAnsi="宋体"/>
                <w:szCs w:val="21"/>
              </w:rPr>
            </w:pPr>
            <w:r>
              <w:rPr>
                <w:rFonts w:hint="eastAsia" w:ascii="宋体" w:hAnsi="宋体"/>
                <w:szCs w:val="21"/>
              </w:rPr>
              <w:t>（5分）</w:t>
            </w:r>
          </w:p>
        </w:tc>
        <w:tc>
          <w:tcPr>
            <w:tcW w:w="3201"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lang w:eastAsia="zh-CN"/>
              </w:rPr>
            </w:pPr>
            <w:r>
              <w:rPr>
                <w:rFonts w:hint="eastAsia" w:ascii="宋体" w:hAnsi="宋体"/>
                <w:szCs w:val="21"/>
                <w:lang w:eastAsia="zh-CN"/>
              </w:rPr>
              <w:t>特色显著</w:t>
            </w:r>
          </w:p>
        </w:tc>
        <w:tc>
          <w:tcPr>
            <w:tcW w:w="2966"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lang w:eastAsia="zh-CN"/>
              </w:rPr>
              <w:t>无显著</w:t>
            </w:r>
            <w:r>
              <w:rPr>
                <w:rFonts w:hint="eastAsia" w:ascii="宋体" w:hAnsi="宋体"/>
                <w:szCs w:val="21"/>
              </w:rPr>
              <w:t>特色。</w:t>
            </w:r>
          </w:p>
        </w:tc>
        <w:tc>
          <w:tcPr>
            <w:tcW w:w="792"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p>
        </w:tc>
        <w:tc>
          <w:tcPr>
            <w:tcW w:w="803" w:type="dxa"/>
            <w:tcBorders>
              <w:top w:val="single" w:color="auto" w:sz="4" w:space="0"/>
              <w:left w:val="single" w:color="auto" w:sz="4" w:space="0"/>
              <w:bottom w:val="single" w:color="auto" w:sz="4" w:space="0"/>
              <w:right w:val="single" w:color="auto" w:sz="4" w:space="0"/>
            </w:tcBorders>
            <w:vAlign w:val="center"/>
          </w:tcPr>
          <w:p>
            <w:pPr>
              <w:jc w:val="both"/>
              <w:rPr>
                <w:rFonts w:hint="eastAsia" w:ascii="宋体" w:hAnsi="宋体"/>
                <w:szCs w:val="21"/>
              </w:rPr>
            </w:pPr>
            <w:r>
              <w:rPr>
                <w:rFonts w:hint="eastAsia" w:ascii="宋体" w:hAnsi="宋体"/>
                <w:szCs w:val="21"/>
              </w:rPr>
              <w:t>附说明材料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41" w:hRule="atLeast"/>
        </w:trPr>
        <w:tc>
          <w:tcPr>
            <w:tcW w:w="1481"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szCs w:val="21"/>
                <w:lang w:eastAsia="zh-CN"/>
              </w:rPr>
            </w:pPr>
            <w:r>
              <w:rPr>
                <w:rFonts w:hint="eastAsia" w:ascii="宋体" w:hAnsi="宋体"/>
                <w:szCs w:val="21"/>
                <w:lang w:eastAsia="zh-CN"/>
              </w:rPr>
              <w:t>总分</w:t>
            </w:r>
            <w:r>
              <w:rPr>
                <w:rFonts w:hint="eastAsia" w:ascii="宋体" w:hAnsi="宋体"/>
                <w:szCs w:val="21"/>
                <w:lang w:val="en-US" w:eastAsia="zh-CN"/>
              </w:rPr>
              <w:t>=</w:t>
            </w:r>
            <w:r>
              <w:rPr>
                <w:rFonts w:hint="eastAsia" w:ascii="宋体" w:hAnsi="宋体"/>
                <w:szCs w:val="21"/>
              </w:rPr>
              <w:t>(Mi×Ki)</w:t>
            </w:r>
            <w:r>
              <w:rPr>
                <w:rFonts w:hint="eastAsia" w:ascii="宋体" w:hAnsi="宋体"/>
                <w:szCs w:val="21"/>
                <w:lang w:val="en-US" w:eastAsia="zh-CN"/>
              </w:rPr>
              <w:t>/</w:t>
            </w:r>
            <w:r>
              <w:rPr>
                <w:rFonts w:hint="eastAsia" w:ascii="宋体" w:hAnsi="宋体" w:eastAsia="宋体" w:cs="宋体"/>
                <w:szCs w:val="21"/>
                <w:lang w:val="en-US" w:eastAsia="zh-CN"/>
              </w:rPr>
              <w:t>∑</w:t>
            </w:r>
            <w:r>
              <w:rPr>
                <w:rFonts w:hint="eastAsia" w:ascii="宋体" w:hAnsi="宋体"/>
                <w:szCs w:val="21"/>
              </w:rPr>
              <w:t>Mi</w:t>
            </w:r>
          </w:p>
        </w:tc>
        <w:tc>
          <w:tcPr>
            <w:tcW w:w="7762" w:type="dxa"/>
            <w:gridSpan w:val="4"/>
            <w:tcBorders>
              <w:top w:val="single" w:color="auto" w:sz="4" w:space="0"/>
              <w:left w:val="single" w:color="auto" w:sz="4" w:space="0"/>
              <w:bottom w:val="single" w:color="auto" w:sz="4" w:space="0"/>
              <w:right w:val="single" w:color="auto" w:sz="4" w:space="0"/>
            </w:tcBorders>
            <w:vAlign w:val="center"/>
          </w:tcPr>
          <w:p>
            <w:pPr>
              <w:jc w:val="left"/>
              <w:rPr>
                <w:rFonts w:hint="eastAsia" w:ascii="宋体" w:hAnsi="宋体"/>
                <w:szCs w:val="21"/>
              </w:rPr>
            </w:pPr>
          </w:p>
        </w:tc>
      </w:tr>
    </w:tbl>
    <w:p/>
    <w:p>
      <w:pPr>
        <w:spacing w:line="360" w:lineRule="auto"/>
        <w:ind w:left="88" w:leftChars="42"/>
        <w:jc w:val="center"/>
        <w:rPr>
          <w:rFonts w:ascii="宋体" w:hAnsi="宋体"/>
          <w:b/>
          <w:sz w:val="28"/>
          <w:szCs w:val="28"/>
        </w:rPr>
      </w:pPr>
      <w:bookmarkStart w:id="0" w:name="_GoBack"/>
      <w:bookmarkEnd w:id="0"/>
      <w:r>
        <w:rPr>
          <w:rFonts w:hint="eastAsia" w:cstheme="minorBidi"/>
          <w:kern w:val="2"/>
          <w:sz w:val="21"/>
          <w:szCs w:val="24"/>
          <w:lang w:val="en-US" w:eastAsia="zh-CN" w:bidi="ar-SA"/>
        </w:rPr>
        <w:tab/>
      </w:r>
      <w:r>
        <w:rPr>
          <w:rFonts w:hint="eastAsia" w:ascii="宋体" w:hAnsi="宋体"/>
          <w:b/>
          <w:sz w:val="28"/>
          <w:szCs w:val="28"/>
        </w:rPr>
        <w:t>说   明</w:t>
      </w:r>
    </w:p>
    <w:p>
      <w:pPr>
        <w:tabs>
          <w:tab w:val="left" w:pos="7560"/>
        </w:tabs>
        <w:spacing w:line="360" w:lineRule="auto"/>
        <w:ind w:firstLine="359" w:firstLineChars="171"/>
        <w:rPr>
          <w:rFonts w:ascii="宋体" w:hAnsi="宋体"/>
          <w:szCs w:val="21"/>
        </w:rPr>
      </w:pPr>
      <w:r>
        <w:rPr>
          <w:rFonts w:hint="eastAsia" w:ascii="宋体" w:hAnsi="宋体"/>
          <w:szCs w:val="21"/>
          <w:lang w:val="en-US" w:eastAsia="zh-CN"/>
        </w:rPr>
        <w:t>1</w:t>
      </w:r>
      <w:r>
        <w:rPr>
          <w:rFonts w:hint="eastAsia" w:ascii="宋体" w:hAnsi="宋体"/>
          <w:szCs w:val="21"/>
        </w:rPr>
        <w:t>. 优质课程基本条件：最终得分≥80分，教学效果≥</w:t>
      </w:r>
      <w:r>
        <w:rPr>
          <w:rFonts w:hint="eastAsia" w:ascii="宋体" w:hAnsi="宋体"/>
          <w:szCs w:val="21"/>
          <w:lang w:val="en-US" w:eastAsia="zh-CN"/>
        </w:rPr>
        <w:t>80</w:t>
      </w:r>
      <w:r>
        <w:rPr>
          <w:rFonts w:hint="eastAsia" w:ascii="宋体" w:hAnsi="宋体"/>
          <w:szCs w:val="21"/>
        </w:rPr>
        <w:t>分。</w:t>
      </w:r>
    </w:p>
    <w:p>
      <w:pPr>
        <w:tabs>
          <w:tab w:val="left" w:pos="7560"/>
        </w:tabs>
        <w:spacing w:line="360" w:lineRule="auto"/>
        <w:ind w:firstLine="359" w:firstLineChars="171"/>
        <w:rPr>
          <w:rFonts w:ascii="宋体" w:hAnsi="宋体"/>
          <w:szCs w:val="21"/>
        </w:rPr>
      </w:pPr>
      <w:r>
        <w:rPr>
          <w:rFonts w:hint="eastAsia" w:ascii="宋体" w:hAnsi="宋体"/>
          <w:szCs w:val="21"/>
          <w:lang w:val="en-US" w:eastAsia="zh-CN"/>
        </w:rPr>
        <w:t>2</w:t>
      </w:r>
      <w:r>
        <w:rPr>
          <w:rFonts w:hint="eastAsia" w:ascii="宋体" w:hAnsi="宋体"/>
          <w:szCs w:val="21"/>
        </w:rPr>
        <w:t>. 精品课程基本条件：最终得分≥90分，教学效果≥</w:t>
      </w:r>
      <w:r>
        <w:rPr>
          <w:rFonts w:hint="eastAsia" w:ascii="宋体" w:hAnsi="宋体"/>
          <w:szCs w:val="21"/>
          <w:lang w:val="en-US" w:eastAsia="zh-CN"/>
        </w:rPr>
        <w:t>85</w:t>
      </w:r>
      <w:r>
        <w:rPr>
          <w:rFonts w:hint="eastAsia" w:ascii="宋体" w:hAnsi="宋体"/>
          <w:szCs w:val="21"/>
        </w:rPr>
        <w:t>分，且“师资队伍”中两个二级指标的评价等级均为A</w:t>
      </w:r>
      <w:r>
        <w:rPr>
          <w:rFonts w:hint="eastAsia" w:ascii="宋体" w:hAnsi="宋体"/>
          <w:szCs w:val="21"/>
          <w:lang w:eastAsia="zh-CN"/>
        </w:rPr>
        <w:t>。</w:t>
      </w:r>
    </w:p>
    <w:p>
      <w:pPr>
        <w:spacing w:line="360" w:lineRule="auto"/>
        <w:ind w:firstLine="360"/>
        <w:rPr>
          <w:rFonts w:ascii="宋体" w:hAnsi="宋体"/>
          <w:szCs w:val="21"/>
        </w:rPr>
      </w:pPr>
      <w:r>
        <w:rPr>
          <w:rFonts w:hint="eastAsia" w:ascii="宋体" w:hAnsi="宋体"/>
          <w:szCs w:val="21"/>
          <w:lang w:val="en-US" w:eastAsia="zh-CN"/>
        </w:rPr>
        <w:t>3</w:t>
      </w:r>
      <w:r>
        <w:rPr>
          <w:rFonts w:hint="eastAsia" w:ascii="宋体" w:hAnsi="宋体"/>
          <w:szCs w:val="21"/>
        </w:rPr>
        <w:t>. 学校依据本指标体系对课程进行监督、指导、评价、验收。</w:t>
      </w:r>
    </w:p>
    <w:p>
      <w:pPr>
        <w:tabs>
          <w:tab w:val="left" w:pos="4269"/>
        </w:tabs>
        <w:jc w:val="left"/>
        <w:rPr>
          <w:lang w:val="en-US" w:eastAsia="zh-CN"/>
        </w:rPr>
      </w:pPr>
    </w:p>
    <w:sectPr>
      <w:pgSz w:w="11906" w:h="16838"/>
      <w:pgMar w:top="1134" w:right="1134" w:bottom="850" w:left="1134"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24F7970"/>
    <w:rsid w:val="024F7970"/>
    <w:rsid w:val="04DD563A"/>
    <w:rsid w:val="09D47B58"/>
    <w:rsid w:val="0EDF2ADC"/>
    <w:rsid w:val="17800891"/>
    <w:rsid w:val="17D81D0A"/>
    <w:rsid w:val="18CC77D4"/>
    <w:rsid w:val="28ED1E3D"/>
    <w:rsid w:val="378674B3"/>
    <w:rsid w:val="4B8B2F65"/>
    <w:rsid w:val="6DF406B4"/>
    <w:rsid w:val="709038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Office_10.1.0.6876_F1E327BC-269C-435d-A152-05C5408002CA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2017-10-31T01:34:00Z</dcterms:created>
  <dc:creator>admin</dc:creator>
  <cp:lastModifiedBy>admin</cp:lastModifiedBy>
  <dcterms:modified xsi:type="dcterms:W3CDTF">2017-11-01T02:26:06Z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