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pPr w:leftFromText="180" w:rightFromText="180" w:vertAnchor="text" w:horzAnchor="page" w:tblpX="-8" w:tblpY="498"/>
        <w:tblOverlap w:val="never"/>
        <w:tblW w:w="1114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1114"/>
        <w:gridCol w:w="2228"/>
        <w:gridCol w:w="1114"/>
        <w:gridCol w:w="2339"/>
        <w:gridCol w:w="1115"/>
        <w:gridCol w:w="32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308" w:hRule="atLeast"/>
          <w:tblCellSpacing w:w="0" w:type="dxa"/>
        </w:trPr>
        <w:tc>
          <w:tcPr>
            <w:tcW w:w="1114"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信息名称：</w:t>
            </w:r>
          </w:p>
        </w:tc>
        <w:tc>
          <w:tcPr>
            <w:tcW w:w="10026" w:type="dxa"/>
            <w:gridSpan w:val="5"/>
            <w:shd w:val="clear"/>
            <w:vAlign w:val="top"/>
          </w:tcPr>
          <w:p>
            <w:pPr>
              <w:keepNext w:val="0"/>
              <w:keepLines w:val="0"/>
              <w:widowControl/>
              <w:suppressLineNumbers w:val="0"/>
              <w:spacing w:line="375" w:lineRule="atLeast"/>
              <w:jc w:val="left"/>
              <w:rPr>
                <w:rFonts w:hint="eastAsia" w:ascii="宋体" w:hAnsi="宋体" w:eastAsia="宋体" w:cs="宋体"/>
                <w:b/>
                <w:color w:val="CC3300"/>
                <w:sz w:val="21"/>
                <w:szCs w:val="21"/>
              </w:rPr>
            </w:pPr>
            <w:r>
              <w:rPr>
                <w:rFonts w:hint="eastAsia" w:ascii="宋体" w:hAnsi="宋体" w:eastAsia="宋体" w:cs="宋体"/>
                <w:b/>
                <w:color w:val="CC3300"/>
                <w:kern w:val="0"/>
                <w:sz w:val="21"/>
                <w:szCs w:val="21"/>
                <w:bdr w:val="none" w:color="auto" w:sz="0" w:space="0"/>
                <w:lang w:val="en-US" w:eastAsia="zh-CN" w:bidi="ar"/>
              </w:rPr>
              <w:t>教育部办公厅关于统筹全日制和非全日制研究生管理工作的通知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308" w:hRule="atLeast"/>
          <w:tblCellSpacing w:w="0" w:type="dxa"/>
        </w:trPr>
        <w:tc>
          <w:tcPr>
            <w:tcW w:w="1114"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信息索引：</w:t>
            </w:r>
          </w:p>
        </w:tc>
        <w:tc>
          <w:tcPr>
            <w:tcW w:w="2228" w:type="dxa"/>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360A22-99-2016-0006-1</w:t>
            </w:r>
          </w:p>
        </w:tc>
        <w:tc>
          <w:tcPr>
            <w:tcW w:w="1114"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生成日期：</w:t>
            </w:r>
          </w:p>
        </w:tc>
        <w:tc>
          <w:tcPr>
            <w:tcW w:w="2339" w:type="dxa"/>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2016-09-14</w:t>
            </w:r>
          </w:p>
        </w:tc>
        <w:tc>
          <w:tcPr>
            <w:tcW w:w="1115"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发文机构：</w:t>
            </w:r>
          </w:p>
        </w:tc>
        <w:tc>
          <w:tcPr>
            <w:tcW w:w="3230" w:type="dxa"/>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教育部办公厅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308" w:hRule="atLeast"/>
          <w:tblCellSpacing w:w="0" w:type="dxa"/>
        </w:trPr>
        <w:tc>
          <w:tcPr>
            <w:tcW w:w="1114"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发文字号：</w:t>
            </w:r>
          </w:p>
        </w:tc>
        <w:tc>
          <w:tcPr>
            <w:tcW w:w="2228" w:type="dxa"/>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教研厅[2016]2号</w:t>
            </w:r>
          </w:p>
        </w:tc>
        <w:tc>
          <w:tcPr>
            <w:tcW w:w="1114"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信息类别：</w:t>
            </w:r>
          </w:p>
        </w:tc>
        <w:tc>
          <w:tcPr>
            <w:tcW w:w="6684" w:type="dxa"/>
            <w:gridSpan w:val="3"/>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高等教育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308" w:hRule="atLeast"/>
          <w:tblCellSpacing w:w="0" w:type="dxa"/>
        </w:trPr>
        <w:tc>
          <w:tcPr>
            <w:tcW w:w="1114"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内容概述：</w:t>
            </w:r>
          </w:p>
        </w:tc>
        <w:tc>
          <w:tcPr>
            <w:tcW w:w="10026" w:type="dxa"/>
            <w:gridSpan w:val="5"/>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教育部办公厅统筹全日制和非全日制研究生管理工作。</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vanish/>
        </w:rPr>
      </w:pPr>
      <w:r>
        <w:rPr>
          <w:rFonts w:ascii="宋体" w:hAnsi="宋体" w:eastAsia="宋体" w:cs="宋体"/>
          <w:vanish/>
          <w:kern w:val="0"/>
          <w:sz w:val="24"/>
          <w:szCs w:val="24"/>
          <w:bdr w:val="none" w:color="auto" w:sz="0" w:space="0"/>
          <w:shd w:val="clear" w:fill="FFFFFF"/>
          <w:lang w:val="en-US" w:eastAsia="zh-CN" w:bidi="ar"/>
        </w:rPr>
        <w:t>信息公开_厅文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atLeast"/>
        <w:ind w:left="0" w:leftChars="0" w:right="0" w:rightChars="0" w:firstLine="0" w:firstLineChars="0"/>
        <w:jc w:val="both"/>
        <w:textAlignment w:val="auto"/>
        <w:outlineLvl w:val="9"/>
        <w:rPr>
          <w:rFonts w:hint="eastAsia" w:ascii="微软雅黑" w:hAnsi="微软雅黑" w:eastAsia="微软雅黑" w:cs="微软雅黑"/>
          <w:b/>
          <w:color w:val="4B4B4B"/>
          <w:sz w:val="30"/>
          <w:szCs w:val="30"/>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atLeast"/>
        <w:ind w:left="0" w:leftChars="0" w:right="0" w:rightChars="0" w:firstLine="0" w:firstLineChars="0"/>
        <w:jc w:val="center"/>
        <w:textAlignment w:val="auto"/>
        <w:outlineLvl w:val="9"/>
        <w:rPr>
          <w:rFonts w:hint="eastAsia" w:ascii="宋体" w:hAnsi="宋体" w:eastAsia="宋体" w:cs="宋体"/>
          <w:b/>
          <w:color w:val="4B4B4B"/>
          <w:sz w:val="28"/>
          <w:szCs w:val="28"/>
          <w:bdr w:val="none" w:color="auto" w:sz="0" w:space="0"/>
          <w:shd w:val="clear" w:fill="FFFFFF"/>
        </w:rPr>
      </w:pPr>
      <w:r>
        <w:rPr>
          <w:rFonts w:hint="eastAsia" w:ascii="宋体" w:hAnsi="宋体" w:eastAsia="宋体" w:cs="宋体"/>
          <w:b/>
          <w:color w:val="4B4B4B"/>
          <w:sz w:val="28"/>
          <w:szCs w:val="28"/>
          <w:bdr w:val="none" w:color="auto" w:sz="0" w:space="0"/>
          <w:shd w:val="clear" w:fill="FFFFFF"/>
        </w:rPr>
        <w:t>教育部办公厅关于统筹全日制和非全日制研究生管理工作的通知</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atLeast"/>
        <w:ind w:left="0" w:leftChars="0" w:right="0" w:rightChars="0" w:firstLine="0" w:firstLineChars="0"/>
        <w:jc w:val="center"/>
        <w:textAlignment w:val="auto"/>
        <w:outlineLvl w:val="9"/>
        <w:rPr>
          <w:rFonts w:hint="eastAsia" w:ascii="宋体" w:hAnsi="宋体" w:eastAsia="宋体" w:cs="宋体"/>
          <w:b/>
          <w:color w:val="4B4B4B"/>
          <w:sz w:val="28"/>
          <w:szCs w:val="28"/>
        </w:rPr>
      </w:pPr>
      <w:r>
        <w:rPr>
          <w:rFonts w:hint="eastAsia" w:ascii="宋体" w:hAnsi="宋体" w:eastAsia="宋体" w:cs="宋体"/>
          <w:b/>
          <w:color w:val="4B4B4B"/>
          <w:sz w:val="28"/>
          <w:szCs w:val="28"/>
          <w:shd w:val="clear" w:fill="FFFFFF"/>
        </w:rPr>
        <w:t>教研厅[2016]2号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b/>
          <w:vanish/>
          <w:color w:val="4B4B4B"/>
          <w:sz w:val="24"/>
          <w:szCs w:val="24"/>
        </w:rPr>
      </w:pPr>
      <w:r>
        <w:rPr>
          <w:rFonts w:hint="eastAsia" w:ascii="微软雅黑" w:hAnsi="微软雅黑" w:eastAsia="微软雅黑" w:cs="微软雅黑"/>
          <w:b/>
          <w:vanish/>
          <w:color w:val="4B4B4B"/>
          <w:sz w:val="24"/>
          <w:szCs w:val="24"/>
          <w:bdr w:val="none" w:color="auto" w:sz="0" w:space="0"/>
          <w:shd w:val="clear" w:fill="FFFFFF"/>
        </w:rPr>
        <w:t>教研厅[2016]2号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各省、自治区、直辖市教育厅（教委），新疆生产建设兵团教育局，有关部门（单位）教育司（局），中央军委训练管理部职业教育局，部属各高等学校：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为推进全日制和非全日制研究生教育协调发展，促进全日制和非全日制研究生教育规范管理，依据《中华人民共和国学位条例》《中华人民共和国高等教育法》以及《教育部 国家发展改革委 财政部关于深化研究生教育改革的意见》（教研〔2013〕1号）相关规定和精神，现就统筹全日制和非全日制研究生管理工作有关要求通知如下，请遵照执行。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一、准确界定全日制和非全日制研究生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全日制研究生是指符合国家研究生招生规定，通过研究生入学考试或者国家承认的其他入学方式，被具有实施研究生教育资格的高等学校或其他高等教育机构录取，在基本修业年限或者学校规定年限内，全脱产在校学习的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FF0000"/>
          <w:sz w:val="24"/>
          <w:szCs w:val="24"/>
        </w:rPr>
      </w:pPr>
      <w:r>
        <w:rPr>
          <w:rFonts w:hint="eastAsia" w:ascii="微软雅黑" w:hAnsi="微软雅黑" w:eastAsia="微软雅黑" w:cs="微软雅黑"/>
          <w:color w:val="4B4B4B"/>
          <w:sz w:val="24"/>
          <w:szCs w:val="24"/>
          <w:bdr w:val="none" w:color="auto" w:sz="0" w:space="0"/>
          <w:shd w:val="clear" w:fill="FFFFFF"/>
        </w:rPr>
        <w:t>　　非全日制研究生指符合国家研究生招生规定，通过研究生入学考试或者国家承认的其他入学方式，被具有实施研究生教育资格的高等学校或其他高等教育机构录取，</w:t>
      </w:r>
      <w:r>
        <w:rPr>
          <w:rFonts w:hint="eastAsia" w:ascii="微软雅黑" w:hAnsi="微软雅黑" w:eastAsia="微软雅黑" w:cs="微软雅黑"/>
          <w:color w:val="FF0000"/>
          <w:sz w:val="24"/>
          <w:szCs w:val="24"/>
          <w:bdr w:val="none" w:color="auto" w:sz="0" w:space="0"/>
          <w:shd w:val="clear" w:fill="FFFFFF"/>
        </w:rPr>
        <w:t>在基本修业年限或者学校规定的修业年限（一般应适当延长基本修业年限）内，在从事其他职业或者社会实践的同时，采取多种方式和灵活时间安排进行非脱产学习的研究生。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FF0000"/>
          <w:sz w:val="24"/>
          <w:szCs w:val="24"/>
        </w:rPr>
      </w:pPr>
      <w:r>
        <w:rPr>
          <w:rFonts w:hint="eastAsia" w:ascii="微软雅黑" w:hAnsi="微软雅黑" w:eastAsia="微软雅黑" w:cs="微软雅黑"/>
          <w:color w:val="4B4B4B"/>
          <w:sz w:val="24"/>
          <w:szCs w:val="24"/>
          <w:bdr w:val="none" w:color="auto" w:sz="0" w:space="0"/>
          <w:shd w:val="clear" w:fill="FFFFFF"/>
        </w:rPr>
        <w:t>　　2016年11月30日前录取的研究生按原有规定执行；</w:t>
      </w:r>
      <w:r>
        <w:rPr>
          <w:rFonts w:hint="eastAsia" w:ascii="微软雅黑" w:hAnsi="微软雅黑" w:eastAsia="微软雅黑" w:cs="微软雅黑"/>
          <w:color w:val="FF0000"/>
          <w:sz w:val="24"/>
          <w:szCs w:val="24"/>
          <w:bdr w:val="none" w:color="auto" w:sz="0" w:space="0"/>
          <w:shd w:val="clear" w:fill="FFFFFF"/>
        </w:rPr>
        <w:t>2016年12月1日后录取的研究生从培养方式上按全日制和非全日制形式区分。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二、统一下达全日制和非全日制研究生招生计划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从2017年起，教育部会同国家发展改革委按全日制和非全日制两类分别编制和下达全国博士、硕士研究生招生计划。相关投入机制、奖助和收费等政策按</w:t>
      </w:r>
      <w:r>
        <w:rPr>
          <w:rFonts w:hint="eastAsia" w:ascii="微软雅黑" w:hAnsi="微软雅黑" w:eastAsia="微软雅黑" w:cs="微软雅黑"/>
          <w:color w:val="FF0000"/>
          <w:sz w:val="24"/>
          <w:szCs w:val="24"/>
          <w:bdr w:val="none" w:color="auto" w:sz="0" w:space="0"/>
          <w:shd w:val="clear" w:fill="FFFFFF"/>
        </w:rPr>
        <w:t>《财政部 国家发展改革委 教育部关于完善研究生教育投入机制的意见》（财教〔2013〕19号）</w:t>
      </w:r>
      <w:r>
        <w:rPr>
          <w:rFonts w:hint="eastAsia" w:ascii="微软雅黑" w:hAnsi="微软雅黑" w:eastAsia="微软雅黑" w:cs="微软雅黑"/>
          <w:color w:val="4B4B4B"/>
          <w:sz w:val="24"/>
          <w:szCs w:val="24"/>
          <w:bdr w:val="none" w:color="auto" w:sz="0" w:space="0"/>
          <w:shd w:val="clear" w:fill="FFFFFF"/>
        </w:rPr>
        <w:t>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三、统一组织实施全日制和非全日制研究生招生录取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全日制和非全日制研究生考试招生依据国家统一要求，执行相同的政策和标准。各研究生培养单位的招生简章须明确学习方式、修业年限、收费标准等内容。考生根据国家招生政策和培养单位招生简章自主报考全日制或非全日制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FF0000"/>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FF0000"/>
          <w:sz w:val="24"/>
          <w:szCs w:val="24"/>
          <w:bdr w:val="none" w:color="auto" w:sz="0" w:space="0"/>
          <w:shd w:val="clear" w:fill="FFFFFF"/>
        </w:rPr>
        <w:t>四、坚持全日制和非全日制研究生教育同一质量标准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4B4B4B"/>
          <w:sz w:val="24"/>
          <w:szCs w:val="24"/>
        </w:rPr>
      </w:pPr>
      <w:r>
        <w:rPr>
          <w:rFonts w:hint="eastAsia" w:ascii="微软雅黑" w:hAnsi="微软雅黑" w:eastAsia="微软雅黑" w:cs="微软雅黑"/>
          <w:color w:val="FF0000"/>
          <w:sz w:val="24"/>
          <w:szCs w:val="24"/>
          <w:bdr w:val="none" w:color="auto" w:sz="0" w:space="0"/>
          <w:shd w:val="clear" w:fill="FFFFFF"/>
        </w:rPr>
        <w:t>　　研究生培养单位根据社会需求自主确定不同学科、类别研究生教育形式，根据培养要求分别制定培养方案，统筹全日制与非全日制研究生教育协调发展，坚持同一标准，保证同等质量。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五、做好全日制和非全日制研究生学历学位证书管理工作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全日制和非全日制研究生毕业时，所在高等学校或其他高等教育机构根据其修业年限、学业成绩等，按照国家有关规定发给相应的、注明学习方式的毕业证书；其学业水平达到国家规定的学位标准，可以申请授予相应的学位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Fonts w:hint="eastAsia" w:ascii="微软雅黑" w:hAnsi="微软雅黑" w:eastAsia="微软雅黑" w:cs="微软雅黑"/>
          <w:color w:val="FF0000"/>
          <w:sz w:val="24"/>
          <w:szCs w:val="24"/>
          <w:bdr w:val="none" w:color="auto" w:sz="0" w:space="0"/>
          <w:shd w:val="clear" w:fill="FFFFFF"/>
        </w:rPr>
        <w:t>　全日制和非全日制研究生实行相同的考试招生政策和培养标准，其学历学位证书具有同等法律地位和相同效力。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各省级教育行政部门和研究生培养单位要调整现有的招生计划安排办法，规范招生宣传和正确引导，加强学籍管理，完善研究生奖助体系，强化培养过程管理及质量保障体系建设，确保全日制和非全日制研究生培养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教育部办公厅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2016年9月14</w:t>
      </w:r>
    </w:p>
    <w:p/>
    <w:p/>
    <w:sectPr>
      <w:pgSz w:w="11906" w:h="16838"/>
      <w:pgMar w:top="1440" w:right="1134" w:bottom="1440" w:left="1361"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AD7795"/>
    <w:rsid w:val="18CC23D6"/>
    <w:rsid w:val="3121042F"/>
    <w:rsid w:val="3EAD779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800080"/>
      <w:u w:val="none"/>
    </w:rPr>
  </w:style>
  <w:style w:type="character" w:styleId="7">
    <w:name w:val="Hyperlink"/>
    <w:basedOn w:val="4"/>
    <w:uiPriority w:val="0"/>
    <w:rPr>
      <w:color w:val="0000FF"/>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2017-03-07T02:27:00Z</dcterms:created>
  <dc:creator>admin</dc:creator>
  <cp:lastModifiedBy>admin</cp:lastModifiedBy>
  <dcterms:modified xsi:type="dcterms:W3CDTF">2017-03-07T02:37:41Z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